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4" w:line="259" w:lineRule="auto"/>
        <w:ind w:left="180" w:right="0" w:firstLine="0"/>
        <w:jc w:val="both"/>
        <w:rPr>
          <w:rFonts w:hint="eastAsia" w:ascii="宋体" w:hAnsi="宋体" w:eastAsia="宋体" w:cs="宋体"/>
          <w:sz w:val="72"/>
          <w:highlight w:val="none"/>
        </w:rPr>
      </w:pPr>
      <w:bookmarkStart w:id="0" w:name="_Hlk68099314"/>
      <w:r>
        <w:rPr>
          <w:rFonts w:hint="eastAsia" w:ascii="宋体" w:hAnsi="宋体" w:eastAsia="宋体" w:cs="宋体"/>
          <w:sz w:val="72"/>
          <w:highlight w:val="none"/>
        </w:rPr>
        <w:t xml:space="preserve"> </w:t>
      </w:r>
    </w:p>
    <w:p>
      <w:pPr>
        <w:spacing w:after="164" w:line="259" w:lineRule="auto"/>
        <w:ind w:left="180" w:right="0" w:firstLine="0"/>
        <w:jc w:val="center"/>
        <w:rPr>
          <w:rFonts w:hint="eastAsia" w:ascii="宋体" w:hAnsi="宋体" w:eastAsia="宋体" w:cs="宋体"/>
          <w:highlight w:val="none"/>
        </w:rPr>
      </w:pPr>
    </w:p>
    <w:p>
      <w:pPr>
        <w:spacing w:after="0" w:line="360" w:lineRule="auto"/>
        <w:ind w:left="-2" w:leftChars="-1" w:right="0" w:firstLine="1"/>
        <w:jc w:val="center"/>
        <w:rPr>
          <w:rFonts w:hint="eastAsia" w:cs="Times New Roman"/>
          <w:b/>
          <w:color w:val="auto"/>
          <w:sz w:val="48"/>
          <w:lang w:val="en-US" w:eastAsia="zh-CN"/>
        </w:rPr>
      </w:pPr>
      <w:r>
        <w:rPr>
          <w:rFonts w:cs="Times New Roman"/>
          <w:b/>
          <w:color w:val="auto"/>
          <w:sz w:val="48"/>
        </w:rPr>
        <w:t>中山大学附属第一医院</w:t>
      </w:r>
      <w:r>
        <w:rPr>
          <w:rFonts w:hint="eastAsia" w:cs="Times New Roman"/>
          <w:b/>
          <w:color w:val="auto"/>
          <w:sz w:val="48"/>
          <w:lang w:val="en-US" w:eastAsia="zh-CN"/>
        </w:rPr>
        <w:t>数据中心</w:t>
      </w:r>
    </w:p>
    <w:p>
      <w:pPr>
        <w:spacing w:after="0" w:line="360" w:lineRule="auto"/>
        <w:ind w:left="-2" w:leftChars="-1" w:right="0" w:firstLine="1"/>
        <w:jc w:val="center"/>
        <w:rPr>
          <w:rFonts w:hint="default" w:eastAsia="宋体"/>
          <w:color w:val="auto"/>
          <w:lang w:val="en-US" w:eastAsia="zh-CN"/>
        </w:rPr>
      </w:pPr>
      <w:r>
        <w:rPr>
          <w:rFonts w:hint="eastAsia" w:cs="Times New Roman"/>
          <w:b/>
          <w:color w:val="auto"/>
          <w:sz w:val="48"/>
          <w:lang w:val="en-US" w:eastAsia="zh-CN"/>
        </w:rPr>
        <w:t>及配套建设工程</w:t>
      </w:r>
    </w:p>
    <w:p>
      <w:pPr>
        <w:spacing w:after="151" w:line="259" w:lineRule="auto"/>
        <w:ind w:left="-2" w:leftChars="-1" w:right="0" w:firstLine="1"/>
        <w:jc w:val="center"/>
        <w:rPr>
          <w:rFonts w:hint="eastAsia" w:ascii="宋体" w:hAnsi="宋体" w:eastAsia="宋体" w:cs="宋体"/>
          <w:highlight w:val="none"/>
        </w:rPr>
      </w:pPr>
    </w:p>
    <w:p>
      <w:pPr>
        <w:spacing w:after="207" w:line="259" w:lineRule="auto"/>
        <w:ind w:left="90" w:right="0" w:firstLine="0"/>
        <w:jc w:val="center"/>
        <w:rPr>
          <w:rFonts w:hint="eastAsia" w:ascii="宋体" w:hAnsi="宋体" w:eastAsia="宋体" w:cs="宋体"/>
          <w:sz w:val="36"/>
          <w:highlight w:val="none"/>
        </w:rPr>
      </w:pPr>
      <w:r>
        <w:rPr>
          <w:rFonts w:hint="eastAsia" w:ascii="宋体" w:hAnsi="宋体" w:eastAsia="宋体" w:cs="宋体"/>
          <w:sz w:val="36"/>
          <w:highlight w:val="none"/>
        </w:rPr>
        <w:t xml:space="preserve"> </w:t>
      </w:r>
    </w:p>
    <w:p>
      <w:pPr>
        <w:spacing w:after="207" w:line="259" w:lineRule="auto"/>
        <w:ind w:left="90" w:right="0" w:firstLine="0"/>
        <w:jc w:val="center"/>
        <w:rPr>
          <w:rFonts w:hint="eastAsia" w:ascii="宋体" w:hAnsi="宋体" w:eastAsia="宋体" w:cs="宋体"/>
          <w:highlight w:val="none"/>
        </w:rPr>
      </w:pPr>
    </w:p>
    <w:p>
      <w:pPr>
        <w:spacing w:after="127" w:line="259" w:lineRule="auto"/>
        <w:ind w:left="90" w:right="0" w:firstLine="0"/>
        <w:jc w:val="center"/>
        <w:rPr>
          <w:rFonts w:hint="eastAsia" w:ascii="宋体" w:hAnsi="宋体" w:eastAsia="宋体" w:cs="宋体"/>
          <w:sz w:val="36"/>
          <w:highlight w:val="none"/>
        </w:rPr>
      </w:pPr>
      <w:r>
        <w:rPr>
          <w:rFonts w:hint="eastAsia" w:ascii="宋体" w:hAnsi="宋体" w:eastAsia="宋体" w:cs="宋体"/>
          <w:sz w:val="36"/>
          <w:highlight w:val="none"/>
        </w:rPr>
        <w:t xml:space="preserve"> </w:t>
      </w:r>
    </w:p>
    <w:p>
      <w:pPr>
        <w:spacing w:after="127" w:line="259" w:lineRule="auto"/>
        <w:ind w:left="90" w:right="0" w:firstLine="0"/>
        <w:jc w:val="center"/>
        <w:rPr>
          <w:rFonts w:hint="eastAsia" w:ascii="宋体" w:hAnsi="宋体" w:eastAsia="宋体" w:cs="宋体"/>
          <w:highlight w:val="none"/>
        </w:rPr>
      </w:pPr>
    </w:p>
    <w:p>
      <w:pPr>
        <w:spacing w:after="0" w:line="378" w:lineRule="auto"/>
        <w:ind w:left="3555" w:right="3218" w:hanging="21"/>
        <w:jc w:val="center"/>
        <w:rPr>
          <w:rFonts w:hint="eastAsia" w:ascii="宋体" w:hAnsi="宋体" w:eastAsia="宋体" w:cs="宋体"/>
          <w:sz w:val="28"/>
          <w:highlight w:val="none"/>
        </w:rPr>
      </w:pPr>
      <w:r>
        <w:rPr>
          <w:rFonts w:hint="eastAsia" w:ascii="宋体" w:hAnsi="宋体" w:eastAsia="宋体" w:cs="宋体"/>
          <w:sz w:val="28"/>
          <w:highlight w:val="none"/>
        </w:rPr>
        <w:t>技术规格说明书</w:t>
      </w:r>
    </w:p>
    <w:p>
      <w:pPr>
        <w:spacing w:after="0" w:line="378" w:lineRule="auto"/>
        <w:ind w:left="3555" w:right="3218" w:hanging="21"/>
        <w:jc w:val="center"/>
        <w:rPr>
          <w:rFonts w:hint="eastAsia" w:ascii="宋体" w:hAnsi="宋体" w:eastAsia="宋体" w:cs="宋体"/>
          <w:sz w:val="28"/>
          <w:highlight w:val="none"/>
        </w:rPr>
      </w:pPr>
      <w:r>
        <w:rPr>
          <w:rFonts w:hint="eastAsia" w:ascii="宋体" w:hAnsi="宋体" w:eastAsia="宋体" w:cs="宋体"/>
          <w:sz w:val="28"/>
          <w:highlight w:val="none"/>
        </w:rPr>
        <w:t>第一部分</w:t>
      </w:r>
    </w:p>
    <w:p>
      <w:pPr>
        <w:spacing w:after="0" w:line="378" w:lineRule="auto"/>
        <w:ind w:left="3555" w:right="3218" w:hanging="21"/>
        <w:jc w:val="center"/>
        <w:rPr>
          <w:rFonts w:hint="eastAsia" w:ascii="宋体" w:hAnsi="宋体" w:eastAsia="宋体" w:cs="宋体"/>
          <w:highlight w:val="none"/>
        </w:rPr>
      </w:pPr>
      <w:r>
        <w:rPr>
          <w:rFonts w:hint="eastAsia" w:ascii="宋体" w:hAnsi="宋体" w:eastAsia="宋体" w:cs="宋体"/>
          <w:sz w:val="28"/>
          <w:highlight w:val="none"/>
        </w:rPr>
        <w:t xml:space="preserve">总则 </w:t>
      </w:r>
    </w:p>
    <w:tbl>
      <w:tblPr>
        <w:tblStyle w:val="14"/>
        <w:tblW w:w="7663" w:type="dxa"/>
        <w:tblInd w:w="0" w:type="dxa"/>
        <w:tblLayout w:type="autofit"/>
        <w:tblCellMar>
          <w:top w:w="0" w:type="dxa"/>
          <w:left w:w="0" w:type="dxa"/>
          <w:bottom w:w="8" w:type="dxa"/>
          <w:right w:w="0" w:type="dxa"/>
        </w:tblCellMar>
      </w:tblPr>
      <w:tblGrid>
        <w:gridCol w:w="2802"/>
        <w:gridCol w:w="4861"/>
      </w:tblGrid>
      <w:tr>
        <w:tblPrEx>
          <w:tblCellMar>
            <w:top w:w="0" w:type="dxa"/>
            <w:left w:w="0" w:type="dxa"/>
            <w:bottom w:w="8" w:type="dxa"/>
            <w:right w:w="0" w:type="dxa"/>
          </w:tblCellMar>
        </w:tblPrEx>
        <w:trPr>
          <w:trHeight w:val="2282" w:hRule="atLeast"/>
        </w:trPr>
        <w:tc>
          <w:tcPr>
            <w:tcW w:w="2802" w:type="dxa"/>
            <w:tcBorders>
              <w:top w:val="nil"/>
              <w:left w:val="nil"/>
              <w:bottom w:val="nil"/>
              <w:right w:val="nil"/>
            </w:tcBorders>
          </w:tcPr>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tc>
        <w:tc>
          <w:tcPr>
            <w:tcW w:w="4860" w:type="dxa"/>
            <w:tcBorders>
              <w:top w:val="nil"/>
              <w:left w:val="nil"/>
              <w:bottom w:val="nil"/>
              <w:right w:val="nil"/>
            </w:tcBorders>
            <w:vAlign w:val="bottom"/>
          </w:tcPr>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2"/>
                <w:highlight w:val="none"/>
              </w:rPr>
              <w:t xml:space="preserve"> </w:t>
            </w:r>
          </w:p>
        </w:tc>
      </w:tr>
      <w:tr>
        <w:tblPrEx>
          <w:tblCellMar>
            <w:top w:w="0" w:type="dxa"/>
            <w:left w:w="0" w:type="dxa"/>
            <w:bottom w:w="8" w:type="dxa"/>
            <w:right w:w="0" w:type="dxa"/>
          </w:tblCellMar>
        </w:tblPrEx>
        <w:trPr>
          <w:trHeight w:val="848"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highlight w:val="none"/>
              </w:rPr>
            </w:pPr>
            <w:r>
              <w:rPr>
                <w:rFonts w:hint="eastAsia" w:ascii="宋体" w:hAnsi="宋体" w:eastAsia="宋体" w:cs="宋体"/>
                <w:highlight w:val="none"/>
              </w:rPr>
              <w:t xml:space="preserve">业主：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中山大学附属第一医院 </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highlight w:val="none"/>
              </w:rPr>
            </w:pPr>
            <w:r>
              <w:rPr>
                <w:rFonts w:hint="eastAsia" w:ascii="宋体" w:hAnsi="宋体" w:eastAsia="宋体" w:cs="宋体"/>
                <w:highlight w:val="none"/>
              </w:rPr>
              <w:t xml:space="preserve">顾问： </w:t>
            </w: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highlight w:val="none"/>
              </w:rPr>
            </w:pPr>
            <w:r>
              <w:rPr>
                <w:rFonts w:hint="eastAsia" w:ascii="宋体" w:hAnsi="宋体" w:eastAsia="宋体" w:cs="宋体"/>
                <w:highlight w:val="none"/>
              </w:rPr>
              <w:t>深圳市建筑设计研究总院有限公司</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highlight w:val="none"/>
              </w:rPr>
            </w:pP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highlight w:val="none"/>
              </w:rPr>
            </w:pPr>
          </w:p>
        </w:tc>
      </w:tr>
      <w:tr>
        <w:tblPrEx>
          <w:tblCellMar>
            <w:top w:w="0" w:type="dxa"/>
            <w:left w:w="0" w:type="dxa"/>
            <w:bottom w:w="8" w:type="dxa"/>
            <w:right w:w="0" w:type="dxa"/>
          </w:tblCellMar>
        </w:tblPrEx>
        <w:trPr>
          <w:trHeight w:val="366"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highlight w:val="none"/>
              </w:rPr>
            </w:pPr>
            <w:r>
              <w:rPr>
                <w:rFonts w:hint="eastAsia" w:ascii="宋体" w:hAnsi="宋体" w:eastAsia="宋体" w:cs="宋体"/>
                <w:highlight w:val="none"/>
              </w:rPr>
              <w:t>日期：</w:t>
            </w:r>
            <w:r>
              <w:rPr>
                <w:rFonts w:hint="eastAsia" w:ascii="宋体" w:hAnsi="宋体" w:eastAsia="宋体" w:cs="宋体"/>
                <w:b/>
                <w:highlight w:val="none"/>
              </w:rPr>
              <w:t xml:space="preserve">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highlight w:val="none"/>
              </w:rPr>
            </w:pPr>
            <w:r>
              <w:rPr>
                <w:rFonts w:hint="eastAsia" w:ascii="宋体" w:hAnsi="宋体" w:eastAsia="宋体" w:cs="宋体"/>
                <w:highlight w:val="none"/>
              </w:rPr>
              <w:t>202</w:t>
            </w:r>
            <w:r>
              <w:rPr>
                <w:rFonts w:hint="eastAsia" w:ascii="宋体" w:hAnsi="宋体" w:eastAsia="宋体" w:cs="宋体"/>
                <w:highlight w:val="none"/>
                <w:lang w:val="en-US" w:eastAsia="zh-CN"/>
              </w:rPr>
              <w:t>2</w:t>
            </w:r>
            <w:r>
              <w:rPr>
                <w:rFonts w:hint="eastAsia" w:ascii="宋体" w:hAnsi="宋体" w:eastAsia="宋体" w:cs="宋体"/>
                <w:highlight w:val="none"/>
              </w:rPr>
              <w:t>年</w:t>
            </w:r>
            <w:r>
              <w:rPr>
                <w:rFonts w:hint="eastAsia" w:cs="宋体"/>
                <w:highlight w:val="none"/>
                <w:lang w:val="en-US" w:eastAsia="zh-CN"/>
              </w:rPr>
              <w:t>11</w:t>
            </w:r>
            <w:r>
              <w:rPr>
                <w:rFonts w:hint="eastAsia" w:ascii="宋体" w:hAnsi="宋体" w:eastAsia="宋体" w:cs="宋体"/>
                <w:highlight w:val="none"/>
              </w:rPr>
              <w:t>月</w:t>
            </w:r>
          </w:p>
        </w:tc>
      </w:tr>
    </w:tbl>
    <w:p>
      <w:pPr>
        <w:spacing w:after="12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b/>
          <w:highlight w:val="none"/>
        </w:rPr>
        <w:t xml:space="preserve"> </w:t>
      </w:r>
    </w:p>
    <w:p>
      <w:pPr>
        <w:spacing w:after="12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b/>
          <w:highlight w:val="none"/>
        </w:rPr>
        <w:t xml:space="preserve"> </w:t>
      </w:r>
      <w:r>
        <w:rPr>
          <w:rFonts w:hint="eastAsia" w:ascii="宋体" w:hAnsi="宋体" w:eastAsia="宋体" w:cs="宋体"/>
          <w:highlight w:val="none"/>
        </w:rPr>
        <w:br w:type="page"/>
      </w:r>
    </w:p>
    <w:bookmarkEnd w:id="0"/>
    <w:p>
      <w:pPr>
        <w:spacing w:after="59" w:line="259" w:lineRule="auto"/>
        <w:ind w:left="60" w:right="0" w:firstLine="0"/>
        <w:jc w:val="center"/>
        <w:rPr>
          <w:rFonts w:hint="eastAsia" w:ascii="宋体" w:hAnsi="宋体" w:eastAsia="宋体" w:cs="宋体"/>
          <w:highlight w:val="none"/>
        </w:rPr>
      </w:pPr>
      <w:r>
        <w:rPr>
          <w:rFonts w:hint="eastAsia" w:ascii="宋体" w:hAnsi="宋体" w:eastAsia="宋体" w:cs="宋体"/>
          <w:highlight w:val="none"/>
        </w:rPr>
        <w:t xml:space="preserve"> </w:t>
      </w:r>
    </w:p>
    <w:p>
      <w:pPr>
        <w:spacing w:after="0" w:line="360" w:lineRule="auto"/>
        <w:ind w:left="0" w:right="99"/>
        <w:jc w:val="center"/>
        <w:rPr>
          <w:rFonts w:hint="default" w:eastAsia="宋体"/>
          <w:color w:val="auto"/>
          <w:lang w:val="en-US" w:eastAsia="zh-CN"/>
        </w:rPr>
      </w:pPr>
      <w:bookmarkStart w:id="1" w:name="_Hlk68099382"/>
      <w:r>
        <w:rPr>
          <w:color w:val="auto"/>
        </w:rPr>
        <w:t>中山大学附属第一医院</w:t>
      </w:r>
      <w:r>
        <w:rPr>
          <w:rFonts w:hint="eastAsia"/>
          <w:color w:val="auto"/>
          <w:lang w:val="en-US" w:eastAsia="zh-CN"/>
        </w:rPr>
        <w:t>数据中心</w:t>
      </w:r>
    </w:p>
    <w:p>
      <w:pPr>
        <w:spacing w:after="0" w:line="360" w:lineRule="auto"/>
        <w:ind w:left="0" w:right="99"/>
        <w:jc w:val="center"/>
        <w:rPr>
          <w:color w:val="auto"/>
        </w:rPr>
      </w:pPr>
      <w:r>
        <w:rPr>
          <w:rFonts w:hint="eastAsia"/>
          <w:color w:val="auto"/>
          <w:lang w:val="en-US" w:eastAsia="zh-CN"/>
        </w:rPr>
        <w:t>及配套建设工程</w:t>
      </w:r>
      <w:r>
        <w:rPr>
          <w:rFonts w:cs="Times New Roman"/>
          <w:color w:val="auto"/>
        </w:rPr>
        <w:t xml:space="preserve"> </w:t>
      </w:r>
    </w:p>
    <w:p>
      <w:pPr>
        <w:spacing w:after="4" w:line="304" w:lineRule="auto"/>
        <w:ind w:left="3445" w:right="3375"/>
        <w:jc w:val="center"/>
        <w:rPr>
          <w:rFonts w:hint="eastAsia" w:ascii="宋体" w:hAnsi="宋体" w:eastAsia="宋体" w:cs="宋体"/>
          <w:highlight w:val="none"/>
        </w:rPr>
      </w:pPr>
      <w:r>
        <w:rPr>
          <w:rFonts w:hint="eastAsia" w:ascii="宋体" w:hAnsi="宋体" w:eastAsia="宋体" w:cs="宋体"/>
          <w:highlight w:val="none"/>
        </w:rPr>
        <w:t>技术规格说明书</w:t>
      </w:r>
    </w:p>
    <w:p>
      <w:pPr>
        <w:spacing w:after="4" w:line="304" w:lineRule="auto"/>
        <w:ind w:left="3445" w:right="3375"/>
        <w:jc w:val="center"/>
        <w:rPr>
          <w:rFonts w:hint="eastAsia" w:ascii="宋体" w:hAnsi="宋体" w:eastAsia="宋体" w:cs="宋体"/>
          <w:highlight w:val="none"/>
        </w:rPr>
      </w:pPr>
      <w:r>
        <w:rPr>
          <w:rFonts w:hint="eastAsia" w:ascii="宋体" w:hAnsi="宋体" w:eastAsia="宋体" w:cs="宋体"/>
          <w:highlight w:val="none"/>
        </w:rPr>
        <w:t xml:space="preserve">目录 </w:t>
      </w:r>
    </w:p>
    <w:bookmarkEnd w:id="1"/>
    <w:p>
      <w:pPr>
        <w:spacing w:after="59" w:line="259" w:lineRule="auto"/>
        <w:ind w:left="60" w:right="0" w:firstLine="0"/>
        <w:jc w:val="center"/>
        <w:rPr>
          <w:rFonts w:hint="eastAsia" w:ascii="宋体" w:hAnsi="宋体" w:eastAsia="宋体" w:cs="宋体"/>
          <w:highlight w:val="none"/>
        </w:rPr>
      </w:pPr>
      <w:r>
        <w:rPr>
          <w:rFonts w:hint="eastAsia" w:ascii="宋体" w:hAnsi="宋体" w:eastAsia="宋体" w:cs="宋体"/>
          <w:highlight w:val="none"/>
        </w:rPr>
        <w:t xml:space="preserve">第一部分 </w:t>
      </w:r>
      <w:r>
        <w:rPr>
          <w:rFonts w:hint="eastAsia" w:ascii="宋体" w:hAnsi="宋体" w:eastAsia="宋体" w:cs="宋体"/>
          <w:highlight w:val="none"/>
        </w:rPr>
        <w:tab/>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0"/>
          <w:highlight w:val="none"/>
        </w:rPr>
        <w:t xml:space="preserve"> </w:t>
      </w:r>
      <w:r>
        <w:rPr>
          <w:rFonts w:hint="eastAsia" w:ascii="宋体" w:hAnsi="宋体" w:eastAsia="宋体" w:cs="宋体"/>
          <w:sz w:val="22"/>
          <w:highlight w:val="none"/>
        </w:rPr>
        <w:t xml:space="preserve"> </w:t>
      </w:r>
      <w:r>
        <w:rPr>
          <w:rFonts w:hint="eastAsia" w:ascii="宋体" w:hAnsi="宋体" w:eastAsia="宋体" w:cs="宋体"/>
          <w:sz w:val="22"/>
          <w:highlight w:val="none"/>
        </w:rPr>
        <w:tab/>
      </w:r>
      <w:r>
        <w:rPr>
          <w:rFonts w:hint="eastAsia" w:ascii="宋体" w:hAnsi="宋体" w:eastAsia="宋体" w:cs="宋体"/>
          <w:sz w:val="20"/>
          <w:highlight w:val="none"/>
        </w:rPr>
        <w:t xml:space="preserve"> </w:t>
      </w:r>
    </w:p>
    <w:p>
      <w:pPr>
        <w:pStyle w:val="7"/>
        <w:tabs>
          <w:tab w:val="right" w:leader="dot" w:pos="9030"/>
        </w:tabs>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TOC \o "1-1" \h \z \u </w:instrText>
      </w:r>
      <w:r>
        <w:rPr>
          <w:rFonts w:hint="eastAsia" w:ascii="宋体" w:hAnsi="宋体" w:eastAsia="宋体" w:cs="宋体"/>
          <w:b w:val="0"/>
          <w:bCs/>
          <w:sz w:val="24"/>
          <w:szCs w:val="24"/>
          <w:highlight w:val="none"/>
        </w:rPr>
        <w:fldChar w:fldCharType="separate"/>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_Toc13374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 </w:t>
      </w:r>
      <w:r>
        <w:rPr>
          <w:rFonts w:hint="eastAsia" w:ascii="宋体" w:hAnsi="宋体" w:eastAsia="宋体" w:cs="宋体"/>
          <w:bCs/>
          <w:sz w:val="21"/>
          <w:szCs w:val="21"/>
          <w:highlight w:val="none"/>
        </w:rPr>
        <w:t>技术规格说明书范围</w:t>
      </w:r>
      <w:r>
        <w:rPr>
          <w:sz w:val="21"/>
          <w:szCs w:val="21"/>
        </w:rPr>
        <w:tab/>
      </w:r>
      <w:r>
        <w:rPr>
          <w:sz w:val="21"/>
          <w:szCs w:val="21"/>
        </w:rPr>
        <w:fldChar w:fldCharType="begin"/>
      </w:r>
      <w:r>
        <w:rPr>
          <w:sz w:val="21"/>
          <w:szCs w:val="21"/>
        </w:rPr>
        <w:instrText xml:space="preserve"> PAGEREF _Toc13374 \h </w:instrText>
      </w:r>
      <w:r>
        <w:rPr>
          <w:sz w:val="21"/>
          <w:szCs w:val="21"/>
        </w:rPr>
        <w:fldChar w:fldCharType="separate"/>
      </w:r>
      <w:r>
        <w:rPr>
          <w:sz w:val="21"/>
          <w:szCs w:val="21"/>
        </w:rPr>
        <w:t>1</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_Toc439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2. </w:t>
      </w:r>
      <w:r>
        <w:rPr>
          <w:rFonts w:hint="eastAsia" w:ascii="宋体" w:hAnsi="宋体" w:eastAsia="宋体" w:cs="宋体"/>
          <w:bCs/>
          <w:sz w:val="21"/>
          <w:szCs w:val="21"/>
          <w:highlight w:val="none"/>
        </w:rPr>
        <w:t>词意定义与缩写</w:t>
      </w:r>
      <w:r>
        <w:rPr>
          <w:sz w:val="21"/>
          <w:szCs w:val="21"/>
        </w:rPr>
        <w:tab/>
      </w:r>
      <w:r>
        <w:rPr>
          <w:sz w:val="21"/>
          <w:szCs w:val="21"/>
        </w:rPr>
        <w:fldChar w:fldCharType="begin"/>
      </w:r>
      <w:r>
        <w:rPr>
          <w:sz w:val="21"/>
          <w:szCs w:val="21"/>
        </w:rPr>
        <w:instrText xml:space="preserve"> PAGEREF _Toc439 \h </w:instrText>
      </w:r>
      <w:r>
        <w:rPr>
          <w:sz w:val="21"/>
          <w:szCs w:val="21"/>
        </w:rPr>
        <w:fldChar w:fldCharType="separate"/>
      </w:r>
      <w:r>
        <w:rPr>
          <w:sz w:val="21"/>
          <w:szCs w:val="21"/>
        </w:rPr>
        <w:t>1</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_Toc7583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3. </w:t>
      </w:r>
      <w:r>
        <w:rPr>
          <w:rFonts w:hint="eastAsia" w:ascii="宋体" w:hAnsi="宋体" w:eastAsia="宋体" w:cs="宋体"/>
          <w:bCs/>
          <w:sz w:val="21"/>
          <w:szCs w:val="21"/>
          <w:highlight w:val="none"/>
        </w:rPr>
        <w:t>规则条例及标准</w:t>
      </w:r>
      <w:r>
        <w:rPr>
          <w:sz w:val="21"/>
          <w:szCs w:val="21"/>
        </w:rPr>
        <w:tab/>
      </w:r>
      <w:r>
        <w:rPr>
          <w:sz w:val="21"/>
          <w:szCs w:val="21"/>
        </w:rPr>
        <w:fldChar w:fldCharType="begin"/>
      </w:r>
      <w:r>
        <w:rPr>
          <w:sz w:val="21"/>
          <w:szCs w:val="21"/>
        </w:rPr>
        <w:instrText xml:space="preserve"> PAGEREF _Toc7583 \h </w:instrText>
      </w:r>
      <w:r>
        <w:rPr>
          <w:sz w:val="21"/>
          <w:szCs w:val="21"/>
        </w:rPr>
        <w:fldChar w:fldCharType="separate"/>
      </w:r>
      <w:r>
        <w:rPr>
          <w:sz w:val="21"/>
          <w:szCs w:val="21"/>
        </w:rPr>
        <w:t>1</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_Toc27360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4. </w:t>
      </w:r>
      <w:r>
        <w:rPr>
          <w:rFonts w:hint="eastAsia" w:ascii="宋体" w:hAnsi="宋体" w:eastAsia="宋体" w:cs="宋体"/>
          <w:bCs/>
          <w:sz w:val="21"/>
          <w:szCs w:val="21"/>
          <w:highlight w:val="none"/>
        </w:rPr>
        <w:t>当地环境条件</w:t>
      </w:r>
      <w:r>
        <w:rPr>
          <w:sz w:val="21"/>
          <w:szCs w:val="21"/>
        </w:rPr>
        <w:tab/>
      </w:r>
      <w:r>
        <w:rPr>
          <w:sz w:val="21"/>
          <w:szCs w:val="21"/>
        </w:rPr>
        <w:fldChar w:fldCharType="begin"/>
      </w:r>
      <w:r>
        <w:rPr>
          <w:sz w:val="21"/>
          <w:szCs w:val="21"/>
        </w:rPr>
        <w:instrText xml:space="preserve"> PAGEREF _Toc27360 \h </w:instrText>
      </w:r>
      <w:r>
        <w:rPr>
          <w:sz w:val="21"/>
          <w:szCs w:val="21"/>
        </w:rPr>
        <w:fldChar w:fldCharType="separate"/>
      </w:r>
      <w:r>
        <w:rPr>
          <w:sz w:val="21"/>
          <w:szCs w:val="21"/>
        </w:rPr>
        <w:t>3</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_Toc22116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5. </w:t>
      </w:r>
      <w:r>
        <w:rPr>
          <w:rFonts w:hint="eastAsia" w:ascii="宋体" w:hAnsi="宋体" w:eastAsia="宋体" w:cs="宋体"/>
          <w:bCs/>
          <w:sz w:val="21"/>
          <w:szCs w:val="21"/>
          <w:highlight w:val="none"/>
        </w:rPr>
        <w:t>供电条件</w:t>
      </w:r>
      <w:r>
        <w:rPr>
          <w:sz w:val="21"/>
          <w:szCs w:val="21"/>
        </w:rPr>
        <w:tab/>
      </w:r>
      <w:r>
        <w:rPr>
          <w:sz w:val="21"/>
          <w:szCs w:val="21"/>
        </w:rPr>
        <w:fldChar w:fldCharType="begin"/>
      </w:r>
      <w:r>
        <w:rPr>
          <w:sz w:val="21"/>
          <w:szCs w:val="21"/>
        </w:rPr>
        <w:instrText xml:space="preserve"> PAGEREF _Toc22116 \h </w:instrText>
      </w:r>
      <w:r>
        <w:rPr>
          <w:sz w:val="21"/>
          <w:szCs w:val="21"/>
        </w:rPr>
        <w:fldChar w:fldCharType="separate"/>
      </w:r>
      <w:r>
        <w:rPr>
          <w:sz w:val="21"/>
          <w:szCs w:val="21"/>
        </w:rPr>
        <w:t>5</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_Toc14191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6. </w:t>
      </w:r>
      <w:r>
        <w:rPr>
          <w:rFonts w:hint="eastAsia" w:ascii="宋体" w:hAnsi="宋体" w:eastAsia="宋体" w:cs="宋体"/>
          <w:bCs/>
          <w:sz w:val="21"/>
          <w:szCs w:val="21"/>
          <w:highlight w:val="none"/>
        </w:rPr>
        <w:t>工地现场条件勘察</w:t>
      </w:r>
      <w:r>
        <w:rPr>
          <w:sz w:val="21"/>
          <w:szCs w:val="21"/>
        </w:rPr>
        <w:tab/>
      </w:r>
      <w:r>
        <w:rPr>
          <w:sz w:val="21"/>
          <w:szCs w:val="21"/>
        </w:rPr>
        <w:fldChar w:fldCharType="begin"/>
      </w:r>
      <w:r>
        <w:rPr>
          <w:sz w:val="21"/>
          <w:szCs w:val="21"/>
        </w:rPr>
        <w:instrText xml:space="preserve"> PAGEREF _Toc14191 \h </w:instrText>
      </w:r>
      <w:r>
        <w:rPr>
          <w:sz w:val="21"/>
          <w:szCs w:val="21"/>
        </w:rPr>
        <w:fldChar w:fldCharType="separate"/>
      </w:r>
      <w:r>
        <w:rPr>
          <w:sz w:val="21"/>
          <w:szCs w:val="21"/>
        </w:rPr>
        <w:t>5</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_Toc4411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7. </w:t>
      </w:r>
      <w:r>
        <w:rPr>
          <w:rFonts w:hint="eastAsia" w:ascii="宋体" w:hAnsi="宋体" w:eastAsia="宋体" w:cs="宋体"/>
          <w:bCs/>
          <w:sz w:val="21"/>
          <w:szCs w:val="21"/>
          <w:highlight w:val="none"/>
        </w:rPr>
        <w:t>工作协调及配合</w:t>
      </w:r>
      <w:r>
        <w:rPr>
          <w:sz w:val="21"/>
          <w:szCs w:val="21"/>
        </w:rPr>
        <w:tab/>
      </w:r>
      <w:r>
        <w:rPr>
          <w:sz w:val="21"/>
          <w:szCs w:val="21"/>
        </w:rPr>
        <w:fldChar w:fldCharType="begin"/>
      </w:r>
      <w:r>
        <w:rPr>
          <w:sz w:val="21"/>
          <w:szCs w:val="21"/>
        </w:rPr>
        <w:instrText xml:space="preserve"> PAGEREF _Toc4411 \h </w:instrText>
      </w:r>
      <w:r>
        <w:rPr>
          <w:sz w:val="21"/>
          <w:szCs w:val="21"/>
        </w:rPr>
        <w:fldChar w:fldCharType="separate"/>
      </w:r>
      <w:r>
        <w:rPr>
          <w:sz w:val="21"/>
          <w:szCs w:val="21"/>
        </w:rPr>
        <w:t>5</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_Toc5630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8. </w:t>
      </w:r>
      <w:r>
        <w:rPr>
          <w:rFonts w:hint="eastAsia" w:ascii="宋体" w:hAnsi="宋体" w:eastAsia="宋体" w:cs="宋体"/>
          <w:bCs/>
          <w:sz w:val="21"/>
          <w:szCs w:val="21"/>
          <w:highlight w:val="none"/>
        </w:rPr>
        <w:t>定位</w:t>
      </w:r>
      <w:r>
        <w:rPr>
          <w:sz w:val="21"/>
          <w:szCs w:val="21"/>
        </w:rPr>
        <w:tab/>
      </w:r>
      <w:r>
        <w:rPr>
          <w:sz w:val="21"/>
          <w:szCs w:val="21"/>
        </w:rPr>
        <w:fldChar w:fldCharType="begin"/>
      </w:r>
      <w:r>
        <w:rPr>
          <w:sz w:val="21"/>
          <w:szCs w:val="21"/>
        </w:rPr>
        <w:instrText xml:space="preserve"> PAGEREF _Toc5630 \h </w:instrText>
      </w:r>
      <w:r>
        <w:rPr>
          <w:sz w:val="21"/>
          <w:szCs w:val="21"/>
        </w:rPr>
        <w:fldChar w:fldCharType="separate"/>
      </w:r>
      <w:r>
        <w:rPr>
          <w:sz w:val="21"/>
          <w:szCs w:val="21"/>
        </w:rPr>
        <w:t>6</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_Toc30320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9. </w:t>
      </w:r>
      <w:r>
        <w:rPr>
          <w:rFonts w:hint="eastAsia" w:ascii="宋体" w:hAnsi="宋体" w:eastAsia="宋体" w:cs="宋体"/>
          <w:bCs/>
          <w:sz w:val="21"/>
          <w:szCs w:val="21"/>
          <w:highlight w:val="none"/>
        </w:rPr>
        <w:t>物料的存储及保管</w:t>
      </w:r>
      <w:r>
        <w:rPr>
          <w:sz w:val="21"/>
          <w:szCs w:val="21"/>
        </w:rPr>
        <w:tab/>
      </w:r>
      <w:r>
        <w:rPr>
          <w:sz w:val="21"/>
          <w:szCs w:val="21"/>
        </w:rPr>
        <w:fldChar w:fldCharType="begin"/>
      </w:r>
      <w:r>
        <w:rPr>
          <w:sz w:val="21"/>
          <w:szCs w:val="21"/>
        </w:rPr>
        <w:instrText xml:space="preserve"> PAGEREF _Toc30320 \h </w:instrText>
      </w:r>
      <w:r>
        <w:rPr>
          <w:sz w:val="21"/>
          <w:szCs w:val="21"/>
        </w:rPr>
        <w:fldChar w:fldCharType="separate"/>
      </w:r>
      <w:r>
        <w:rPr>
          <w:sz w:val="21"/>
          <w:szCs w:val="21"/>
        </w:rPr>
        <w:t>6</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_Toc22876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10. </w:t>
      </w:r>
      <w:r>
        <w:rPr>
          <w:rFonts w:hint="eastAsia" w:ascii="宋体" w:hAnsi="宋体" w:eastAsia="宋体" w:cs="宋体"/>
          <w:bCs/>
          <w:sz w:val="21"/>
          <w:szCs w:val="21"/>
          <w:highlight w:val="none"/>
        </w:rPr>
        <w:t>图纸</w:t>
      </w:r>
      <w:r>
        <w:rPr>
          <w:sz w:val="21"/>
          <w:szCs w:val="21"/>
        </w:rPr>
        <w:tab/>
      </w:r>
      <w:r>
        <w:rPr>
          <w:sz w:val="21"/>
          <w:szCs w:val="21"/>
        </w:rPr>
        <w:fldChar w:fldCharType="begin"/>
      </w:r>
      <w:r>
        <w:rPr>
          <w:sz w:val="21"/>
          <w:szCs w:val="21"/>
        </w:rPr>
        <w:instrText xml:space="preserve"> PAGEREF _Toc22876 \h </w:instrText>
      </w:r>
      <w:r>
        <w:rPr>
          <w:sz w:val="21"/>
          <w:szCs w:val="21"/>
        </w:rPr>
        <w:fldChar w:fldCharType="separate"/>
      </w:r>
      <w:r>
        <w:rPr>
          <w:sz w:val="21"/>
          <w:szCs w:val="21"/>
        </w:rPr>
        <w:t>9</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_Toc29308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11. </w:t>
      </w:r>
      <w:r>
        <w:rPr>
          <w:rFonts w:hint="eastAsia" w:ascii="宋体" w:hAnsi="宋体" w:eastAsia="宋体" w:cs="宋体"/>
          <w:bCs/>
          <w:sz w:val="21"/>
          <w:szCs w:val="21"/>
          <w:highlight w:val="none"/>
        </w:rPr>
        <w:t>设备及材料</w:t>
      </w:r>
      <w:r>
        <w:rPr>
          <w:sz w:val="21"/>
          <w:szCs w:val="21"/>
        </w:rPr>
        <w:tab/>
      </w:r>
      <w:r>
        <w:rPr>
          <w:sz w:val="21"/>
          <w:szCs w:val="21"/>
        </w:rPr>
        <w:fldChar w:fldCharType="begin"/>
      </w:r>
      <w:r>
        <w:rPr>
          <w:sz w:val="21"/>
          <w:szCs w:val="21"/>
        </w:rPr>
        <w:instrText xml:space="preserve"> PAGEREF _Toc29308 \h </w:instrText>
      </w:r>
      <w:r>
        <w:rPr>
          <w:sz w:val="21"/>
          <w:szCs w:val="21"/>
        </w:rPr>
        <w:fldChar w:fldCharType="separate"/>
      </w:r>
      <w:r>
        <w:rPr>
          <w:sz w:val="21"/>
          <w:szCs w:val="21"/>
        </w:rPr>
        <w:t>13</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_Toc13665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12. </w:t>
      </w:r>
      <w:r>
        <w:rPr>
          <w:rFonts w:hint="eastAsia" w:ascii="宋体" w:hAnsi="宋体" w:eastAsia="宋体" w:cs="宋体"/>
          <w:bCs/>
          <w:sz w:val="21"/>
          <w:szCs w:val="21"/>
          <w:highlight w:val="none"/>
        </w:rPr>
        <w:t>送审及审批</w:t>
      </w:r>
      <w:r>
        <w:rPr>
          <w:sz w:val="21"/>
          <w:szCs w:val="21"/>
        </w:rPr>
        <w:tab/>
      </w:r>
      <w:r>
        <w:rPr>
          <w:sz w:val="21"/>
          <w:szCs w:val="21"/>
        </w:rPr>
        <w:fldChar w:fldCharType="begin"/>
      </w:r>
      <w:r>
        <w:rPr>
          <w:sz w:val="21"/>
          <w:szCs w:val="21"/>
        </w:rPr>
        <w:instrText xml:space="preserve"> PAGEREF _Toc13665 \h </w:instrText>
      </w:r>
      <w:r>
        <w:rPr>
          <w:sz w:val="21"/>
          <w:szCs w:val="21"/>
        </w:rPr>
        <w:fldChar w:fldCharType="separate"/>
      </w:r>
      <w:r>
        <w:rPr>
          <w:sz w:val="21"/>
          <w:szCs w:val="21"/>
        </w:rPr>
        <w:t>20</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_Toc1559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13. </w:t>
      </w:r>
      <w:r>
        <w:rPr>
          <w:rFonts w:hint="eastAsia" w:ascii="宋体" w:hAnsi="宋体" w:eastAsia="宋体" w:cs="宋体"/>
          <w:sz w:val="21"/>
          <w:szCs w:val="21"/>
          <w:highlight w:val="none"/>
        </w:rPr>
        <w:t>工程进度计划表</w:t>
      </w:r>
      <w:r>
        <w:rPr>
          <w:sz w:val="21"/>
          <w:szCs w:val="21"/>
        </w:rPr>
        <w:tab/>
      </w:r>
      <w:r>
        <w:rPr>
          <w:sz w:val="21"/>
          <w:szCs w:val="21"/>
        </w:rPr>
        <w:fldChar w:fldCharType="begin"/>
      </w:r>
      <w:r>
        <w:rPr>
          <w:sz w:val="21"/>
          <w:szCs w:val="21"/>
        </w:rPr>
        <w:instrText xml:space="preserve"> PAGEREF _Toc1559 \h </w:instrText>
      </w:r>
      <w:r>
        <w:rPr>
          <w:sz w:val="21"/>
          <w:szCs w:val="21"/>
        </w:rPr>
        <w:fldChar w:fldCharType="separate"/>
      </w:r>
      <w:r>
        <w:rPr>
          <w:sz w:val="21"/>
          <w:szCs w:val="21"/>
        </w:rPr>
        <w:t>21</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_Toc15156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14. </w:t>
      </w:r>
      <w:r>
        <w:rPr>
          <w:rFonts w:hint="eastAsia" w:ascii="宋体" w:hAnsi="宋体" w:eastAsia="宋体" w:cs="宋体"/>
          <w:bCs/>
          <w:sz w:val="21"/>
          <w:szCs w:val="21"/>
          <w:highlight w:val="none"/>
        </w:rPr>
        <w:t>施工组织方案</w:t>
      </w:r>
      <w:r>
        <w:rPr>
          <w:sz w:val="21"/>
          <w:szCs w:val="21"/>
        </w:rPr>
        <w:tab/>
      </w:r>
      <w:r>
        <w:rPr>
          <w:sz w:val="21"/>
          <w:szCs w:val="21"/>
        </w:rPr>
        <w:fldChar w:fldCharType="begin"/>
      </w:r>
      <w:r>
        <w:rPr>
          <w:sz w:val="21"/>
          <w:szCs w:val="21"/>
        </w:rPr>
        <w:instrText xml:space="preserve"> PAGEREF _Toc15156 \h </w:instrText>
      </w:r>
      <w:r>
        <w:rPr>
          <w:sz w:val="21"/>
          <w:szCs w:val="21"/>
        </w:rPr>
        <w:fldChar w:fldCharType="separate"/>
      </w:r>
      <w:r>
        <w:rPr>
          <w:sz w:val="21"/>
          <w:szCs w:val="21"/>
        </w:rPr>
        <w:t>22</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_Toc3027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15. </w:t>
      </w:r>
      <w:r>
        <w:rPr>
          <w:rFonts w:hint="eastAsia" w:ascii="宋体" w:hAnsi="宋体" w:eastAsia="宋体" w:cs="宋体"/>
          <w:bCs/>
          <w:sz w:val="21"/>
          <w:szCs w:val="21"/>
          <w:highlight w:val="none"/>
        </w:rPr>
        <w:t>施工安全专项方案</w:t>
      </w:r>
      <w:r>
        <w:rPr>
          <w:sz w:val="21"/>
          <w:szCs w:val="21"/>
        </w:rPr>
        <w:tab/>
      </w:r>
      <w:r>
        <w:rPr>
          <w:sz w:val="21"/>
          <w:szCs w:val="21"/>
        </w:rPr>
        <w:fldChar w:fldCharType="begin"/>
      </w:r>
      <w:r>
        <w:rPr>
          <w:sz w:val="21"/>
          <w:szCs w:val="21"/>
        </w:rPr>
        <w:instrText xml:space="preserve"> PAGEREF _Toc3027 \h </w:instrText>
      </w:r>
      <w:r>
        <w:rPr>
          <w:sz w:val="21"/>
          <w:szCs w:val="21"/>
        </w:rPr>
        <w:fldChar w:fldCharType="separate"/>
      </w:r>
      <w:r>
        <w:rPr>
          <w:sz w:val="21"/>
          <w:szCs w:val="21"/>
        </w:rPr>
        <w:t>22</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_Toc22784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16. </w:t>
      </w:r>
      <w:r>
        <w:rPr>
          <w:rFonts w:hint="eastAsia" w:ascii="宋体" w:hAnsi="宋体" w:eastAsia="宋体" w:cs="宋体"/>
          <w:bCs/>
          <w:sz w:val="21"/>
          <w:szCs w:val="21"/>
          <w:highlight w:val="none"/>
        </w:rPr>
        <w:t>竣工证书</w:t>
      </w:r>
      <w:r>
        <w:rPr>
          <w:sz w:val="21"/>
          <w:szCs w:val="21"/>
        </w:rPr>
        <w:tab/>
      </w:r>
      <w:r>
        <w:rPr>
          <w:sz w:val="21"/>
          <w:szCs w:val="21"/>
        </w:rPr>
        <w:fldChar w:fldCharType="begin"/>
      </w:r>
      <w:r>
        <w:rPr>
          <w:sz w:val="21"/>
          <w:szCs w:val="21"/>
        </w:rPr>
        <w:instrText xml:space="preserve"> PAGEREF _Toc22784 \h </w:instrText>
      </w:r>
      <w:r>
        <w:rPr>
          <w:sz w:val="21"/>
          <w:szCs w:val="21"/>
        </w:rPr>
        <w:fldChar w:fldCharType="separate"/>
      </w:r>
      <w:r>
        <w:rPr>
          <w:sz w:val="21"/>
          <w:szCs w:val="21"/>
        </w:rPr>
        <w:t>24</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_Toc18312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17. </w:t>
      </w:r>
      <w:r>
        <w:rPr>
          <w:rFonts w:hint="eastAsia" w:ascii="宋体" w:hAnsi="宋体" w:eastAsia="宋体" w:cs="宋体"/>
          <w:bCs/>
          <w:sz w:val="21"/>
          <w:szCs w:val="21"/>
          <w:highlight w:val="none"/>
        </w:rPr>
        <w:t>品质保证</w:t>
      </w:r>
      <w:r>
        <w:rPr>
          <w:sz w:val="21"/>
          <w:szCs w:val="21"/>
        </w:rPr>
        <w:tab/>
      </w:r>
      <w:r>
        <w:rPr>
          <w:sz w:val="21"/>
          <w:szCs w:val="21"/>
        </w:rPr>
        <w:fldChar w:fldCharType="begin"/>
      </w:r>
      <w:r>
        <w:rPr>
          <w:sz w:val="21"/>
          <w:szCs w:val="21"/>
        </w:rPr>
        <w:instrText xml:space="preserve"> PAGEREF _Toc18312 \h </w:instrText>
      </w:r>
      <w:r>
        <w:rPr>
          <w:sz w:val="21"/>
          <w:szCs w:val="21"/>
        </w:rPr>
        <w:fldChar w:fldCharType="separate"/>
      </w:r>
      <w:r>
        <w:rPr>
          <w:sz w:val="21"/>
          <w:szCs w:val="21"/>
        </w:rPr>
        <w:t>25</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_Toc53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18. </w:t>
      </w:r>
      <w:r>
        <w:rPr>
          <w:rFonts w:hint="eastAsia" w:ascii="宋体" w:hAnsi="宋体" w:eastAsia="宋体" w:cs="宋体"/>
          <w:bCs/>
          <w:sz w:val="21"/>
          <w:szCs w:val="21"/>
          <w:highlight w:val="none"/>
        </w:rPr>
        <w:t>竣工前系统之使用</w:t>
      </w:r>
      <w:r>
        <w:rPr>
          <w:sz w:val="21"/>
          <w:szCs w:val="21"/>
        </w:rPr>
        <w:tab/>
      </w:r>
      <w:r>
        <w:rPr>
          <w:sz w:val="21"/>
          <w:szCs w:val="21"/>
        </w:rPr>
        <w:fldChar w:fldCharType="begin"/>
      </w:r>
      <w:r>
        <w:rPr>
          <w:sz w:val="21"/>
          <w:szCs w:val="21"/>
        </w:rPr>
        <w:instrText xml:space="preserve"> PAGEREF _Toc53 \h </w:instrText>
      </w:r>
      <w:r>
        <w:rPr>
          <w:sz w:val="21"/>
          <w:szCs w:val="21"/>
        </w:rPr>
        <w:fldChar w:fldCharType="separate"/>
      </w:r>
      <w:r>
        <w:rPr>
          <w:sz w:val="21"/>
          <w:szCs w:val="21"/>
        </w:rPr>
        <w:t>27</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_Toc30228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19. </w:t>
      </w:r>
      <w:r>
        <w:rPr>
          <w:rFonts w:hint="eastAsia" w:ascii="宋体" w:hAnsi="宋体" w:eastAsia="宋体" w:cs="宋体"/>
          <w:bCs/>
          <w:sz w:val="21"/>
          <w:szCs w:val="21"/>
          <w:highlight w:val="none"/>
        </w:rPr>
        <w:t>缺陷处理</w:t>
      </w:r>
      <w:r>
        <w:rPr>
          <w:sz w:val="21"/>
          <w:szCs w:val="21"/>
        </w:rPr>
        <w:tab/>
      </w:r>
      <w:r>
        <w:rPr>
          <w:sz w:val="21"/>
          <w:szCs w:val="21"/>
        </w:rPr>
        <w:fldChar w:fldCharType="begin"/>
      </w:r>
      <w:r>
        <w:rPr>
          <w:sz w:val="21"/>
          <w:szCs w:val="21"/>
        </w:rPr>
        <w:instrText xml:space="preserve"> PAGEREF _Toc30228 \h </w:instrText>
      </w:r>
      <w:r>
        <w:rPr>
          <w:sz w:val="21"/>
          <w:szCs w:val="21"/>
        </w:rPr>
        <w:fldChar w:fldCharType="separate"/>
      </w:r>
      <w:r>
        <w:rPr>
          <w:sz w:val="21"/>
          <w:szCs w:val="21"/>
        </w:rPr>
        <w:t>27</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_Toc28341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20. </w:t>
      </w:r>
      <w:r>
        <w:rPr>
          <w:rFonts w:hint="eastAsia" w:ascii="宋体" w:hAnsi="宋体" w:eastAsia="宋体" w:cs="宋体"/>
          <w:sz w:val="21"/>
          <w:szCs w:val="21"/>
          <w:highlight w:val="none"/>
        </w:rPr>
        <w:t>操作和维修保养手册</w:t>
      </w:r>
      <w:r>
        <w:rPr>
          <w:sz w:val="21"/>
          <w:szCs w:val="21"/>
        </w:rPr>
        <w:tab/>
      </w:r>
      <w:r>
        <w:rPr>
          <w:sz w:val="21"/>
          <w:szCs w:val="21"/>
        </w:rPr>
        <w:fldChar w:fldCharType="begin"/>
      </w:r>
      <w:r>
        <w:rPr>
          <w:sz w:val="21"/>
          <w:szCs w:val="21"/>
        </w:rPr>
        <w:instrText xml:space="preserve"> PAGEREF _Toc28341 \h </w:instrText>
      </w:r>
      <w:r>
        <w:rPr>
          <w:sz w:val="21"/>
          <w:szCs w:val="21"/>
        </w:rPr>
        <w:fldChar w:fldCharType="separate"/>
      </w:r>
      <w:r>
        <w:rPr>
          <w:sz w:val="21"/>
          <w:szCs w:val="21"/>
        </w:rPr>
        <w:t>28</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_Toc2116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21. </w:t>
      </w:r>
      <w:r>
        <w:rPr>
          <w:rFonts w:hint="eastAsia" w:ascii="宋体" w:hAnsi="宋体" w:eastAsia="宋体" w:cs="宋体"/>
          <w:sz w:val="21"/>
          <w:szCs w:val="21"/>
          <w:highlight w:val="none"/>
        </w:rPr>
        <w:t>文件及图纸送审及提交</w:t>
      </w:r>
      <w:r>
        <w:rPr>
          <w:sz w:val="21"/>
          <w:szCs w:val="21"/>
        </w:rPr>
        <w:tab/>
      </w:r>
      <w:r>
        <w:rPr>
          <w:sz w:val="21"/>
          <w:szCs w:val="21"/>
        </w:rPr>
        <w:fldChar w:fldCharType="begin"/>
      </w:r>
      <w:r>
        <w:rPr>
          <w:sz w:val="21"/>
          <w:szCs w:val="21"/>
        </w:rPr>
        <w:instrText xml:space="preserve"> PAGEREF _Toc2116 \h </w:instrText>
      </w:r>
      <w:r>
        <w:rPr>
          <w:sz w:val="21"/>
          <w:szCs w:val="21"/>
        </w:rPr>
        <w:fldChar w:fldCharType="separate"/>
      </w:r>
      <w:r>
        <w:rPr>
          <w:sz w:val="21"/>
          <w:szCs w:val="21"/>
        </w:rPr>
        <w:t>30</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_Toc15022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22. </w:t>
      </w:r>
      <w:r>
        <w:rPr>
          <w:rFonts w:hint="eastAsia" w:ascii="宋体" w:hAnsi="宋体" w:eastAsia="宋体" w:cs="宋体"/>
          <w:bCs/>
          <w:sz w:val="21"/>
          <w:szCs w:val="21"/>
          <w:highlight w:val="none"/>
        </w:rPr>
        <w:t>图纸和设备编号</w:t>
      </w:r>
      <w:r>
        <w:rPr>
          <w:sz w:val="21"/>
          <w:szCs w:val="21"/>
        </w:rPr>
        <w:tab/>
      </w:r>
      <w:r>
        <w:rPr>
          <w:sz w:val="21"/>
          <w:szCs w:val="21"/>
        </w:rPr>
        <w:fldChar w:fldCharType="begin"/>
      </w:r>
      <w:r>
        <w:rPr>
          <w:sz w:val="21"/>
          <w:szCs w:val="21"/>
        </w:rPr>
        <w:instrText xml:space="preserve"> PAGEREF _Toc15022 \h </w:instrText>
      </w:r>
      <w:r>
        <w:rPr>
          <w:sz w:val="21"/>
          <w:szCs w:val="21"/>
        </w:rPr>
        <w:fldChar w:fldCharType="separate"/>
      </w:r>
      <w:r>
        <w:rPr>
          <w:sz w:val="21"/>
          <w:szCs w:val="21"/>
        </w:rPr>
        <w:t>31</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_Toc18913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23. </w:t>
      </w:r>
      <w:r>
        <w:rPr>
          <w:rFonts w:hint="eastAsia" w:ascii="宋体" w:hAnsi="宋体" w:eastAsia="宋体" w:cs="宋体"/>
          <w:bCs/>
          <w:sz w:val="21"/>
          <w:szCs w:val="21"/>
          <w:highlight w:val="none"/>
        </w:rPr>
        <w:t>电磁兼容</w:t>
      </w:r>
      <w:r>
        <w:rPr>
          <w:sz w:val="21"/>
          <w:szCs w:val="21"/>
        </w:rPr>
        <w:tab/>
      </w:r>
      <w:r>
        <w:rPr>
          <w:sz w:val="21"/>
          <w:szCs w:val="21"/>
        </w:rPr>
        <w:fldChar w:fldCharType="begin"/>
      </w:r>
      <w:r>
        <w:rPr>
          <w:sz w:val="21"/>
          <w:szCs w:val="21"/>
        </w:rPr>
        <w:instrText xml:space="preserve"> PAGEREF _Toc18913 \h </w:instrText>
      </w:r>
      <w:r>
        <w:rPr>
          <w:sz w:val="21"/>
          <w:szCs w:val="21"/>
        </w:rPr>
        <w:fldChar w:fldCharType="separate"/>
      </w:r>
      <w:r>
        <w:rPr>
          <w:sz w:val="21"/>
          <w:szCs w:val="21"/>
        </w:rPr>
        <w:t>31</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sz w:val="21"/>
          <w:szCs w:val="21"/>
        </w:rPr>
      </w:pPr>
      <w:r>
        <w:rPr>
          <w:rFonts w:hint="eastAsia" w:ascii="宋体" w:hAnsi="宋体" w:eastAsia="宋体" w:cs="宋体"/>
          <w:bCs/>
          <w:sz w:val="21"/>
          <w:szCs w:val="21"/>
          <w:highlight w:val="none"/>
        </w:rPr>
        <w:fldChar w:fldCharType="begin"/>
      </w:r>
      <w:r>
        <w:rPr>
          <w:rFonts w:hint="eastAsia" w:ascii="宋体" w:hAnsi="宋体" w:eastAsia="宋体" w:cs="宋体"/>
          <w:bCs/>
          <w:sz w:val="21"/>
          <w:szCs w:val="21"/>
          <w:highlight w:val="none"/>
        </w:rPr>
        <w:instrText xml:space="preserve"> HYPERLINK \l _Toc32228 </w:instrText>
      </w:r>
      <w:r>
        <w:rPr>
          <w:rFonts w:hint="eastAsia" w:ascii="宋体" w:hAnsi="宋体" w:eastAsia="宋体" w:cs="宋体"/>
          <w:bCs/>
          <w:sz w:val="21"/>
          <w:szCs w:val="21"/>
          <w:highlight w:val="none"/>
        </w:rPr>
        <w:fldChar w:fldCharType="separate"/>
      </w:r>
      <w:r>
        <w:rPr>
          <w:rFonts w:hint="default" w:ascii="宋体" w:hAnsi="宋体" w:eastAsia="宋体" w:cs="宋体"/>
          <w:bCs/>
          <w:i w:val="0"/>
          <w:strike w:val="0"/>
          <w:dstrike w:val="0"/>
          <w:sz w:val="21"/>
          <w:szCs w:val="21"/>
          <w:shd w:val="clear" w:color="auto" w:fill="auto"/>
          <w:vertAlign w:val="baseline"/>
        </w:rPr>
        <w:t xml:space="preserve">24. </w:t>
      </w:r>
      <w:r>
        <w:rPr>
          <w:rFonts w:hint="eastAsia" w:ascii="宋体" w:hAnsi="宋体" w:eastAsia="宋体" w:cs="宋体"/>
          <w:bCs/>
          <w:sz w:val="21"/>
          <w:szCs w:val="21"/>
          <w:highlight w:val="none"/>
        </w:rPr>
        <w:t>保修期</w:t>
      </w:r>
      <w:r>
        <w:rPr>
          <w:sz w:val="21"/>
          <w:szCs w:val="21"/>
        </w:rPr>
        <w:tab/>
      </w:r>
      <w:r>
        <w:rPr>
          <w:sz w:val="21"/>
          <w:szCs w:val="21"/>
        </w:rPr>
        <w:fldChar w:fldCharType="begin"/>
      </w:r>
      <w:r>
        <w:rPr>
          <w:sz w:val="21"/>
          <w:szCs w:val="21"/>
        </w:rPr>
        <w:instrText xml:space="preserve"> PAGEREF _Toc32228 \h </w:instrText>
      </w:r>
      <w:r>
        <w:rPr>
          <w:sz w:val="21"/>
          <w:szCs w:val="21"/>
        </w:rPr>
        <w:fldChar w:fldCharType="separate"/>
      </w:r>
      <w:r>
        <w:rPr>
          <w:sz w:val="21"/>
          <w:szCs w:val="21"/>
        </w:rPr>
        <w:t>33</w:t>
      </w:r>
      <w:r>
        <w:rPr>
          <w:sz w:val="21"/>
          <w:szCs w:val="21"/>
        </w:rPr>
        <w:fldChar w:fldCharType="end"/>
      </w:r>
      <w:r>
        <w:rPr>
          <w:rFonts w:hint="eastAsia" w:ascii="宋体" w:hAnsi="宋体" w:eastAsia="宋体" w:cs="宋体"/>
          <w:bCs/>
          <w:sz w:val="21"/>
          <w:szCs w:val="21"/>
          <w:highlight w:val="none"/>
        </w:rPr>
        <w:fldChar w:fldCharType="end"/>
      </w:r>
    </w:p>
    <w:p>
      <w:pPr>
        <w:pStyle w:val="7"/>
        <w:tabs>
          <w:tab w:val="right" w:leader="dot" w:pos="9030"/>
        </w:tabs>
        <w:rPr>
          <w:rFonts w:hint="eastAsia" w:ascii="宋体" w:hAnsi="宋体" w:eastAsia="宋体" w:cs="宋体"/>
          <w:highlight w:val="none"/>
        </w:rPr>
      </w:pPr>
      <w:r>
        <w:rPr>
          <w:rFonts w:hint="eastAsia" w:ascii="宋体" w:hAnsi="宋体" w:eastAsia="宋体" w:cs="宋体"/>
          <w:b w:val="0"/>
          <w:bCs/>
          <w:sz w:val="24"/>
          <w:szCs w:val="24"/>
          <w:highlight w:val="none"/>
        </w:rPr>
        <w:fldChar w:fldCharType="end"/>
      </w:r>
    </w:p>
    <w:p>
      <w:pPr>
        <w:spacing w:after="1724" w:line="259" w:lineRule="auto"/>
        <w:ind w:left="0" w:right="0" w:firstLine="0"/>
        <w:rPr>
          <w:rFonts w:hint="eastAsia" w:ascii="宋体" w:hAnsi="宋体" w:eastAsia="宋体" w:cs="宋体"/>
          <w:highlight w:val="none"/>
        </w:rPr>
        <w:sectPr>
          <w:headerReference r:id="rId7" w:type="first"/>
          <w:footerReference r:id="rId10" w:type="first"/>
          <w:headerReference r:id="rId5" w:type="default"/>
          <w:footerReference r:id="rId8" w:type="default"/>
          <w:headerReference r:id="rId6" w:type="even"/>
          <w:footerReference r:id="rId9" w:type="even"/>
          <w:pgSz w:w="11909" w:h="16834"/>
          <w:pgMar w:top="1466" w:right="1439" w:bottom="720" w:left="1440" w:header="720" w:footer="720" w:gutter="0"/>
          <w:cols w:space="720" w:num="1"/>
        </w:sectPr>
      </w:pPr>
      <w:r>
        <w:rPr>
          <w:rFonts w:hint="eastAsia" w:ascii="宋体" w:hAnsi="宋体" w:eastAsia="宋体" w:cs="宋体"/>
          <w:sz w:val="20"/>
          <w:highlight w:val="none"/>
        </w:rPr>
        <w:t xml:space="preserve"> </w:t>
      </w:r>
    </w:p>
    <w:p>
      <w:pPr>
        <w:pStyle w:val="2"/>
        <w:ind w:left="1350" w:right="0" w:hanging="1078"/>
        <w:rPr>
          <w:rFonts w:hint="eastAsia" w:ascii="宋体" w:hAnsi="宋体" w:eastAsia="宋体" w:cs="宋体"/>
          <w:b/>
          <w:bCs/>
          <w:highlight w:val="none"/>
        </w:rPr>
      </w:pPr>
      <w:bookmarkStart w:id="2" w:name="_Toc13374"/>
      <w:r>
        <w:rPr>
          <w:rFonts w:hint="eastAsia" w:ascii="宋体" w:hAnsi="宋体" w:eastAsia="宋体" w:cs="宋体"/>
          <w:b/>
          <w:bCs/>
          <w:highlight w:val="none"/>
        </w:rPr>
        <w:t>技术规格说明书范围</w:t>
      </w:r>
      <w:bookmarkEnd w:id="2"/>
      <w:r>
        <w:rPr>
          <w:rFonts w:hint="eastAsia" w:ascii="宋体" w:hAnsi="宋体" w:eastAsia="宋体" w:cs="宋体"/>
          <w:b/>
          <w:bCs/>
          <w:highlight w:val="none"/>
        </w:rPr>
        <w:t xml:space="preserve">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关于本项目的智能化系统的供应、安装、调试、操作及维修等技术要求，均于本技术规格说明书及有关议标图纸内详细说明，并提出符合本合同要求的各项细则。为能妥善完成本合同内各项工程事项，承包单位须按规格要求提供一切所需的施工及管理人员、工具、材料、物料、运输、测检、设备、储存、各施工所需证件、图纸、临时施工措施、保证工地安全、调试及负责申请并获得政府相关主管部门批文等事宜。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3" w:name="_Toc439"/>
      <w:r>
        <w:rPr>
          <w:rFonts w:hint="eastAsia" w:ascii="宋体" w:hAnsi="宋体" w:eastAsia="宋体" w:cs="宋体"/>
          <w:b/>
          <w:bCs/>
          <w:highlight w:val="none"/>
        </w:rPr>
        <w:t>词意定义与缩写</w:t>
      </w:r>
      <w:bookmarkEnd w:id="3"/>
      <w:r>
        <w:rPr>
          <w:rFonts w:hint="eastAsia" w:ascii="宋体" w:hAnsi="宋体" w:eastAsia="宋体" w:cs="宋体"/>
          <w:b/>
          <w:bCs/>
          <w:highlight w:val="none"/>
        </w:rPr>
        <w:t xml:space="preserve">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下列的词意定义均适用于本技术规格说明书。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“技术说明或技术规格”：-即指本技术规格说明书。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“图纸或附图”：-即指与本技术规格说明书有关的图纸。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“合同或合约”：-即指本合同文件。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“供给”或 “提供”：-指供应、安装、联接、调试以至完成指定的工作以达至安全和正确的运作。但技术规格说明书内另有规定者除外。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“安装”：-指制造、装配、联接至完成包括有关组件的测试和系统调试。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“供应”：-指购买所需设备包括有关组件并运送到工地的安装位置。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“类似”或 “相等”：指材料质量、重量、体积、设计和功能均相等的指定产品。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“承包单位”或“弱电承包单位”：-指智能化承包单位。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“土建承包单位"或 “总承包单位”：-即指土建承包单位。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“业主”或 “发包方”：-即指中山大学附属第一医院。 </w:t>
      </w:r>
    </w:p>
    <w:p>
      <w:pPr>
        <w:numPr>
          <w:ilvl w:val="0"/>
          <w:numId w:val="2"/>
        </w:numPr>
        <w:ind w:right="0" w:hanging="720"/>
        <w:rPr>
          <w:rFonts w:hint="eastAsia" w:ascii="宋体" w:hAnsi="宋体" w:eastAsia="宋体" w:cs="宋体"/>
          <w:highlight w:val="none"/>
        </w:rPr>
      </w:pPr>
      <w:r>
        <w:rPr>
          <w:rFonts w:hint="eastAsia" w:ascii="宋体" w:hAnsi="宋体" w:eastAsia="宋体" w:cs="宋体"/>
          <w:highlight w:val="none"/>
        </w:rPr>
        <w:t xml:space="preserve">“建筑师/工程师”：-指业主代表或业主指定的代表业主方的监理、设计单位。 </w:t>
      </w:r>
    </w:p>
    <w:p>
      <w:pPr>
        <w:spacing w:after="2"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4" w:name="_Toc7583"/>
      <w:r>
        <w:rPr>
          <w:rFonts w:hint="eastAsia" w:ascii="宋体" w:hAnsi="宋体" w:eastAsia="宋体" w:cs="宋体"/>
          <w:b/>
          <w:bCs/>
          <w:highlight w:val="none"/>
        </w:rPr>
        <w:t>规则条例及标准</w:t>
      </w:r>
      <w:bookmarkEnd w:id="4"/>
      <w:r>
        <w:rPr>
          <w:rFonts w:hint="eastAsia" w:ascii="宋体" w:hAnsi="宋体" w:eastAsia="宋体" w:cs="宋体"/>
          <w:b/>
          <w:bCs/>
          <w:highlight w:val="none"/>
        </w:rPr>
        <w:t xml:space="preserve">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
        </w:numPr>
        <w:ind w:left="1411" w:leftChars="118" w:right="0" w:hanging="1128" w:hangingChars="470"/>
        <w:rPr>
          <w:rFonts w:hint="eastAsia" w:ascii="宋体" w:hAnsi="宋体" w:eastAsia="宋体" w:cs="宋体"/>
          <w:highlight w:val="none"/>
        </w:rPr>
      </w:pPr>
      <w:r>
        <w:rPr>
          <w:rFonts w:hint="eastAsia" w:ascii="宋体" w:hAnsi="宋体" w:eastAsia="宋体" w:cs="宋体"/>
          <w:highlight w:val="none"/>
        </w:rPr>
        <w:t xml:space="preserve">所有设备、材料的供应和施工工艺，必须符合下列各机关、部门所颁布的最新的法定职责、条例、规范、规格、标准、施工准则和业务条例： </w:t>
      </w:r>
    </w:p>
    <w:p>
      <w:pPr>
        <w:spacing w:after="0" w:line="259" w:lineRule="auto"/>
        <w:ind w:left="1353" w:right="0" w:firstLine="0"/>
        <w:rPr>
          <w:rFonts w:hint="eastAsia" w:ascii="宋体" w:hAnsi="宋体" w:eastAsia="宋体" w:cs="宋体"/>
          <w:highlight w:val="none"/>
        </w:rPr>
      </w:pPr>
    </w:p>
    <w:p>
      <w:pPr>
        <w:ind w:left="1348" w:right="0"/>
        <w:rPr>
          <w:rFonts w:hint="eastAsia" w:ascii="宋体" w:hAnsi="宋体" w:eastAsia="宋体" w:cs="宋体"/>
          <w:highlight w:val="none"/>
        </w:rPr>
      </w:pPr>
      <w:r>
        <w:rPr>
          <w:rFonts w:hint="eastAsia" w:ascii="宋体" w:hAnsi="宋体" w:eastAsia="宋体" w:cs="宋体"/>
          <w:highlight w:val="none"/>
        </w:rPr>
        <w:t xml:space="preserve">所有中国中央和工程所在地的当地政府机关及部门，包括但不仅限于以下所列的单位：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消防局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规划局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环境保护局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卫健委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自来水公司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燃气公司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节约用水办公室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中国电信/中国移动/中国联通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供电局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劳动局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邮政局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广播电视局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无线电管理委员会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气象局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公安局技防办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技术监督局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应急管理局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市抗震局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工程所在地建设工程质量监督站 </w:t>
      </w:r>
    </w:p>
    <w:p>
      <w:pPr>
        <w:numPr>
          <w:ilvl w:val="0"/>
          <w:numId w:val="4"/>
        </w:numPr>
        <w:ind w:right="0" w:hanging="810"/>
        <w:rPr>
          <w:rFonts w:hint="eastAsia" w:ascii="宋体" w:hAnsi="宋体" w:eastAsia="宋体" w:cs="宋体"/>
          <w:highlight w:val="none"/>
        </w:rPr>
      </w:pPr>
      <w:r>
        <w:rPr>
          <w:rFonts w:hint="eastAsia" w:ascii="宋体" w:hAnsi="宋体" w:eastAsia="宋体" w:cs="宋体"/>
          <w:highlight w:val="none"/>
        </w:rPr>
        <w:t xml:space="preserve">广电局 </w:t>
      </w:r>
    </w:p>
    <w:p>
      <w:pPr>
        <w:numPr>
          <w:ilvl w:val="0"/>
          <w:numId w:val="4"/>
        </w:numPr>
        <w:spacing w:after="3" w:line="256" w:lineRule="auto"/>
        <w:ind w:right="0" w:hanging="810"/>
        <w:rPr>
          <w:rFonts w:hint="eastAsia" w:ascii="宋体" w:hAnsi="宋体" w:eastAsia="宋体" w:cs="宋体"/>
          <w:highlight w:val="none"/>
        </w:rPr>
      </w:pPr>
      <w:r>
        <w:rPr>
          <w:rFonts w:hint="eastAsia" w:ascii="宋体" w:hAnsi="宋体" w:eastAsia="宋体" w:cs="宋体"/>
          <w:highlight w:val="none"/>
        </w:rPr>
        <w:t xml:space="preserve">建委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所有中国中央和当地所订定规范，规程和准则，以及国际认可的规范和标准，包括以下但不仅限于以下所列： </w:t>
      </w:r>
    </w:p>
    <w:p>
      <w:pPr>
        <w:ind w:left="1348" w:right="0"/>
        <w:rPr>
          <w:rFonts w:hint="eastAsia" w:ascii="宋体" w:hAnsi="宋体" w:eastAsia="宋体" w:cs="宋体"/>
          <w:highlight w:val="none"/>
        </w:rPr>
      </w:pPr>
      <w:r>
        <w:rPr>
          <w:rFonts w:hint="eastAsia" w:ascii="宋体" w:hAnsi="宋体" w:eastAsia="宋体" w:cs="宋体"/>
          <w:highlight w:val="none"/>
        </w:rPr>
        <w:t xml:space="preserve">（若以下所列规范已存有更新或修正时，须以招标时最新的修正版本为依据，并确认完全符合）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民用建筑电气设计标准 GB51348-2019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智能建筑设计标准 GB50314-2015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全国医院信息化建设标准与规范（试行） 2018</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《全国医疗卫生服务体系规划纲要》（2015—2020年）</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综合布线系统工程设计规范 GB50311-2016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用户电话交换系统工程设计规范 GB/T50622-2010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网络电视工程技术规范 GB/T51252-2017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有线电视网络工程设计标准 GB/T 50200-2018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安全防范工程技术规范 GB50348-2018</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视频安防监控系统工程技术规范 GB50395-2007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民用闭路监视电视系统工程技术规范 GB50198-2011</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出入口控制系统工程设计规范 GB50396-2007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入侵报警系统工程设计规范 GB50394-2007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厅堂扩声系统设计规范 GB50371-2006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公共广播系统工程技术规范 GB50526-2010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电子会议系统工程设计规范 GB50799-2012</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建筑设备监控系统工程技术规范 JGJ／T334-2014</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数据中心设计规范 GB50174-2017</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建筑物电子信息系统防雷技术规范 GB50343-2012</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建筑物防雷设计规范 GB50057-2010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建筑抗震设计规范(2016年版) GB50011-2010</w:t>
      </w:r>
    </w:p>
    <w:p>
      <w:pPr>
        <w:numPr>
          <w:ilvl w:val="0"/>
          <w:numId w:val="5"/>
        </w:numPr>
        <w:ind w:right="94" w:hanging="810"/>
        <w:rPr>
          <w:rFonts w:hint="eastAsia" w:ascii="宋体" w:hAnsi="宋体" w:eastAsia="宋体" w:cs="宋体"/>
          <w:highlight w:val="none"/>
        </w:rPr>
      </w:pPr>
      <w:r>
        <w:rPr>
          <w:rFonts w:hint="eastAsia" w:ascii="宋体" w:hAnsi="宋体" w:eastAsia="宋体" w:cs="宋体"/>
          <w:highlight w:val="none"/>
        </w:rPr>
        <w:t xml:space="preserve">民用建筑节能条例（2008 年国务院 530 号令）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公共建筑节能设计标准 GB50189-2015 </w:t>
      </w:r>
    </w:p>
    <w:p>
      <w:pPr>
        <w:numPr>
          <w:ilvl w:val="0"/>
          <w:numId w:val="5"/>
        </w:numPr>
        <w:ind w:right="94" w:hanging="810"/>
        <w:rPr>
          <w:rFonts w:hint="eastAsia" w:ascii="宋体" w:hAnsi="宋体" w:eastAsia="宋体" w:cs="宋体"/>
          <w:highlight w:val="none"/>
        </w:rPr>
      </w:pPr>
      <w:r>
        <w:rPr>
          <w:rFonts w:hint="eastAsia" w:ascii="宋体" w:hAnsi="宋体" w:eastAsia="宋体" w:cs="宋体"/>
          <w:highlight w:val="none"/>
        </w:rPr>
        <w:t xml:space="preserve">公共建筑节能设计标准 广东省实施细则 DBJ15-51-2007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供配电系统设计规范 GB50052-2009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低压配电设计规范 GB50054-2011 </w:t>
      </w:r>
    </w:p>
    <w:p>
      <w:pPr>
        <w:numPr>
          <w:ilvl w:val="0"/>
          <w:numId w:val="5"/>
        </w:numPr>
        <w:spacing w:after="3" w:line="256" w:lineRule="auto"/>
        <w:ind w:right="94" w:hanging="810"/>
        <w:rPr>
          <w:rFonts w:hint="eastAsia" w:ascii="宋体" w:hAnsi="宋体" w:eastAsia="宋体" w:cs="宋体"/>
          <w:highlight w:val="none"/>
        </w:rPr>
      </w:pPr>
      <w:r>
        <w:rPr>
          <w:rFonts w:hint="eastAsia" w:ascii="宋体" w:hAnsi="宋体" w:eastAsia="宋体" w:cs="宋体"/>
          <w:highlight w:val="none"/>
        </w:rPr>
        <w:t xml:space="preserve">20kV 及以下变电所设计规范 GB50053-2013 </w:t>
      </w:r>
    </w:p>
    <w:p>
      <w:pPr>
        <w:numPr>
          <w:ilvl w:val="0"/>
          <w:numId w:val="5"/>
        </w:numPr>
        <w:ind w:right="94" w:hanging="810"/>
        <w:rPr>
          <w:rFonts w:hint="eastAsia" w:ascii="宋体" w:hAnsi="宋体" w:eastAsia="宋体" w:cs="宋体"/>
          <w:highlight w:val="none"/>
        </w:rPr>
      </w:pPr>
      <w:r>
        <w:rPr>
          <w:rFonts w:hint="eastAsia" w:ascii="宋体" w:hAnsi="宋体" w:eastAsia="宋体" w:cs="宋体"/>
          <w:highlight w:val="none"/>
        </w:rPr>
        <w:t xml:space="preserve">其他适用于本合约的有关国家规范和规程 </w:t>
      </w:r>
    </w:p>
    <w:p>
      <w:pPr>
        <w:spacing w:after="25" w:line="259" w:lineRule="auto"/>
        <w:ind w:left="272"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numPr>
          <w:ilvl w:val="1"/>
          <w:numId w:val="3"/>
        </w:numPr>
        <w:ind w:right="0" w:hanging="1078"/>
        <w:rPr>
          <w:rFonts w:hint="eastAsia" w:ascii="宋体" w:hAnsi="宋体" w:eastAsia="宋体" w:cs="宋体"/>
          <w:highlight w:val="none"/>
        </w:rPr>
      </w:pPr>
      <w:r>
        <w:rPr>
          <w:rFonts w:hint="eastAsia" w:ascii="宋体" w:hAnsi="宋体" w:eastAsia="宋体" w:cs="宋体"/>
          <w:highlight w:val="none"/>
        </w:rPr>
        <w:t xml:space="preserve">当上述标准或当地政府及有关部门的特别要求，在技术要求上与本技术规格说明书所规定的发生抵触时，或技术规格说明书与图纸上的标注或要求有矛盾时，或技术规格说明书内有关章节的要求有相互矛盾时，承包单位必须向业主或其指定代表，建筑师或工程师反映，至于应遵从哪个准则，将由业主或其指定代表决定，而有关最终决定不构成任何造价变更。 </w:t>
      </w:r>
    </w:p>
    <w:p>
      <w:pPr>
        <w:spacing w:after="0" w:line="259" w:lineRule="auto"/>
        <w:ind w:left="272" w:right="0" w:firstLine="0"/>
        <w:rPr>
          <w:rFonts w:hint="eastAsia" w:ascii="宋体" w:hAnsi="宋体" w:eastAsia="宋体" w:cs="宋体"/>
          <w:highlight w:val="none"/>
        </w:rPr>
      </w:pPr>
      <w:r>
        <w:rPr>
          <w:rFonts w:hint="eastAsia" w:ascii="宋体" w:hAnsi="宋体" w:eastAsia="宋体" w:cs="宋体"/>
          <w:sz w:val="22"/>
          <w:highlight w:val="none"/>
        </w:rPr>
        <w:t xml:space="preserve"> </w:t>
      </w:r>
      <w:r>
        <w:rPr>
          <w:rFonts w:hint="eastAsia" w:ascii="宋体" w:hAnsi="宋体" w:eastAsia="宋体" w:cs="宋体"/>
          <w:sz w:val="22"/>
          <w:highlight w:val="none"/>
        </w:rPr>
        <w:tab/>
      </w:r>
      <w:r>
        <w:rPr>
          <w:rFonts w:hint="eastAsia" w:ascii="宋体" w:hAnsi="宋体" w:eastAsia="宋体" w:cs="宋体"/>
          <w:sz w:val="22"/>
          <w:highlight w:val="none"/>
        </w:rPr>
        <w:t xml:space="preserve"> </w:t>
      </w:r>
    </w:p>
    <w:p>
      <w:pPr>
        <w:numPr>
          <w:ilvl w:val="1"/>
          <w:numId w:val="3"/>
        </w:numPr>
        <w:ind w:right="0" w:hanging="1078"/>
        <w:rPr>
          <w:rFonts w:hint="eastAsia" w:ascii="宋体" w:hAnsi="宋体" w:eastAsia="宋体" w:cs="宋体"/>
          <w:highlight w:val="none"/>
        </w:rPr>
      </w:pPr>
      <w:r>
        <w:rPr>
          <w:rFonts w:hint="eastAsia" w:ascii="宋体" w:hAnsi="宋体" w:eastAsia="宋体" w:cs="宋体"/>
          <w:highlight w:val="none"/>
        </w:rPr>
        <w:t xml:space="preserve">当上述标准或当地政府及有关部门的特别要求，在技术要求上与本技术规格说明书所规定的发生抵触时，或技术规格说明书和图纸上所标注或要求有互相矛盾时，或技术规格说明书内有关章节的要求有互相矛盾时，承包单位必须向业主或其指定代表包括建筑师或工程师反映，至于应遵从那个准则，将由业主或其指定代表决定，而有关最终决定不构成任何造价变更。在一般情况下，承包单位按下列优先程序处理﹕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 xml:space="preserve">当地政府的条例，指令和规范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 xml:space="preserve">招标图纸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技术规格书第</w:t>
      </w:r>
      <w:r>
        <w:rPr>
          <w:rFonts w:hint="eastAsia" w:ascii="宋体" w:hAnsi="宋体" w:eastAsia="宋体" w:cs="宋体"/>
          <w:highlight w:val="none"/>
          <w:lang w:val="en-US" w:eastAsia="zh-CN"/>
        </w:rPr>
        <w:t>一</w:t>
      </w:r>
      <w:r>
        <w:rPr>
          <w:rFonts w:hint="eastAsia" w:ascii="宋体" w:hAnsi="宋体" w:eastAsia="宋体" w:cs="宋体"/>
          <w:highlight w:val="none"/>
        </w:rPr>
        <w:t xml:space="preserve">部分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技术规格书第</w:t>
      </w:r>
      <w:r>
        <w:rPr>
          <w:rFonts w:hint="eastAsia" w:ascii="宋体" w:hAnsi="宋体" w:eastAsia="宋体" w:cs="宋体"/>
          <w:highlight w:val="none"/>
          <w:lang w:val="en-US" w:eastAsia="zh-CN"/>
        </w:rPr>
        <w:t>二</w:t>
      </w:r>
      <w:r>
        <w:rPr>
          <w:rFonts w:hint="eastAsia" w:ascii="宋体" w:hAnsi="宋体" w:eastAsia="宋体" w:cs="宋体"/>
          <w:highlight w:val="none"/>
        </w:rPr>
        <w:t xml:space="preserve">部分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 xml:space="preserve">技术规格书第三部分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技术规格书第</w:t>
      </w:r>
      <w:r>
        <w:rPr>
          <w:rFonts w:hint="eastAsia" w:ascii="宋体" w:hAnsi="宋体" w:eastAsia="宋体" w:cs="宋体"/>
          <w:highlight w:val="none"/>
          <w:lang w:val="en-US" w:eastAsia="zh-CN"/>
        </w:rPr>
        <w:t>四</w:t>
      </w:r>
      <w:r>
        <w:rPr>
          <w:rFonts w:hint="eastAsia" w:ascii="宋体" w:hAnsi="宋体" w:eastAsia="宋体" w:cs="宋体"/>
          <w:highlight w:val="none"/>
        </w:rPr>
        <w:t xml:space="preserve">部分  </w:t>
      </w:r>
    </w:p>
    <w:p>
      <w:pPr>
        <w:numPr>
          <w:ilvl w:val="2"/>
          <w:numId w:val="6"/>
        </w:numPr>
        <w:ind w:right="0" w:hanging="900"/>
        <w:rPr>
          <w:rFonts w:hint="eastAsia" w:ascii="宋体" w:hAnsi="宋体" w:eastAsia="宋体" w:cs="宋体"/>
          <w:highlight w:val="none"/>
        </w:rPr>
      </w:pPr>
      <w:r>
        <w:rPr>
          <w:rFonts w:hint="eastAsia" w:ascii="宋体" w:hAnsi="宋体" w:eastAsia="宋体" w:cs="宋体"/>
          <w:highlight w:val="none"/>
        </w:rPr>
        <w:t>技术规格书第</w:t>
      </w:r>
      <w:r>
        <w:rPr>
          <w:rFonts w:hint="eastAsia" w:ascii="宋体" w:hAnsi="宋体" w:eastAsia="宋体" w:cs="宋体"/>
          <w:highlight w:val="none"/>
          <w:lang w:val="en-US" w:eastAsia="zh-CN"/>
        </w:rPr>
        <w:t>五</w:t>
      </w:r>
      <w:r>
        <w:rPr>
          <w:rFonts w:hint="eastAsia" w:ascii="宋体" w:hAnsi="宋体" w:eastAsia="宋体" w:cs="宋体"/>
          <w:highlight w:val="none"/>
        </w:rPr>
        <w:t xml:space="preserve">部分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
        </w:numPr>
        <w:ind w:left="1411" w:leftChars="118" w:right="0" w:hanging="1128" w:hangingChars="470"/>
        <w:rPr>
          <w:rFonts w:hint="eastAsia" w:ascii="宋体" w:hAnsi="宋体" w:eastAsia="宋体" w:cs="宋体"/>
          <w:highlight w:val="none"/>
        </w:rPr>
      </w:pPr>
      <w:r>
        <w:rPr>
          <w:rFonts w:hint="eastAsia" w:ascii="宋体" w:hAnsi="宋体" w:eastAsia="宋体" w:cs="宋体"/>
          <w:highlight w:val="none"/>
        </w:rPr>
        <w:t xml:space="preserve">承包单位所提供的有关设备和所建议的系统深化设计必须获得当地消防局、自来水公司、通讯公司、燃气公司、卫健委、供电局、环保局、劳动局、节约用水办公室或其它有关部门及设计院的书面认可。 </w:t>
      </w:r>
    </w:p>
    <w:p>
      <w:pPr>
        <w:spacing w:after="2"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5" w:name="_Toc27360"/>
      <w:r>
        <w:rPr>
          <w:rFonts w:hint="eastAsia" w:ascii="宋体" w:hAnsi="宋体" w:eastAsia="宋体" w:cs="宋体"/>
          <w:b/>
          <w:bCs/>
          <w:highlight w:val="none"/>
        </w:rPr>
        <w:t>当地环境条件</w:t>
      </w:r>
      <w:bookmarkEnd w:id="5"/>
      <w:r>
        <w:rPr>
          <w:rFonts w:hint="eastAsia" w:ascii="宋体" w:hAnsi="宋体" w:eastAsia="宋体" w:cs="宋体"/>
          <w:b/>
          <w:bCs/>
          <w:highlight w:val="none"/>
        </w:rPr>
        <w:t xml:space="preserve">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4.1      在设计、制造、装配、检验和调试本技术规格说明书内所要求的仪器和设备时，必须考虑有关工程所在地的气候情况，及以下所列气象资料供参考﹕ </w:t>
      </w:r>
    </w:p>
    <w:p>
      <w:pPr>
        <w:spacing w:after="0"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szCs w:val="24"/>
          <w:highlight w:val="none"/>
        </w:rPr>
      </w:pPr>
      <w:r>
        <w:rPr>
          <w:rFonts w:hint="eastAsia" w:ascii="宋体" w:hAnsi="宋体" w:eastAsia="宋体" w:cs="宋体"/>
          <w:szCs w:val="24"/>
          <w:highlight w:val="none"/>
        </w:rPr>
        <w:t xml:space="preserve">4.1.1    温度 </w:t>
      </w:r>
    </w:p>
    <w:p>
      <w:pPr>
        <w:tabs>
          <w:tab w:val="center" w:pos="1713"/>
          <w:tab w:val="center" w:pos="5913"/>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夏季： </w:t>
      </w:r>
      <w:r>
        <w:rPr>
          <w:rFonts w:hint="eastAsia" w:ascii="宋体" w:hAnsi="宋体" w:eastAsia="宋体" w:cs="宋体"/>
          <w:highlight w:val="none"/>
        </w:rPr>
        <w:tab/>
      </w:r>
      <w:r>
        <w:rPr>
          <w:rFonts w:hint="eastAsia" w:ascii="宋体" w:hAnsi="宋体" w:eastAsia="宋体" w:cs="宋体"/>
          <w:highlight w:val="none"/>
        </w:rPr>
        <w:t xml:space="preserve">极端温度（干球） </w:t>
      </w:r>
    </w:p>
    <w:p>
      <w:pPr>
        <w:tabs>
          <w:tab w:val="center" w:pos="992"/>
          <w:tab w:val="center" w:pos="5547"/>
        </w:tabs>
        <w:spacing w:after="3" w:line="256" w:lineRule="auto"/>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38.1 度摄氏 </w:t>
      </w:r>
    </w:p>
    <w:p>
      <w:pPr>
        <w:ind w:left="1348" w:right="0"/>
        <w:rPr>
          <w:rFonts w:hint="eastAsia" w:ascii="宋体" w:hAnsi="宋体" w:eastAsia="宋体" w:cs="宋体"/>
          <w:highlight w:val="none"/>
        </w:rPr>
      </w:pPr>
      <w:r>
        <w:rPr>
          <w:rFonts w:hint="eastAsia" w:ascii="宋体" w:hAnsi="宋体" w:eastAsia="宋体" w:cs="宋体"/>
          <w:highlight w:val="none"/>
        </w:rPr>
        <w:t xml:space="preserve">(‘极端’指记录所得的最高温度) </w:t>
      </w:r>
    </w:p>
    <w:p>
      <w:pPr>
        <w:ind w:left="1348" w:right="990"/>
        <w:rPr>
          <w:rFonts w:hint="eastAsia" w:ascii="宋体" w:hAnsi="宋体" w:eastAsia="宋体" w:cs="宋体"/>
          <w:highlight w:val="none"/>
        </w:rPr>
      </w:pPr>
      <w:r>
        <w:rPr>
          <w:rFonts w:hint="eastAsia" w:ascii="宋体" w:hAnsi="宋体" w:eastAsia="宋体" w:cs="宋体"/>
          <w:highlight w:val="none"/>
        </w:rPr>
        <w:t xml:space="preserve">最热月份的平均温度（干球） </w:t>
      </w:r>
      <w:r>
        <w:rPr>
          <w:rFonts w:hint="eastAsia" w:ascii="宋体" w:hAnsi="宋体" w:eastAsia="宋体" w:cs="宋体"/>
          <w:highlight w:val="none"/>
        </w:rPr>
        <w:tab/>
      </w:r>
      <w:r>
        <w:rPr>
          <w:rFonts w:hint="eastAsia" w:ascii="宋体" w:hAnsi="宋体" w:eastAsia="宋体" w:cs="宋体"/>
          <w:highlight w:val="none"/>
        </w:rPr>
        <w:t xml:space="preserve">  30.7度摄氏</w:t>
      </w:r>
    </w:p>
    <w:p>
      <w:pPr>
        <w:ind w:left="1348" w:right="990"/>
        <w:rPr>
          <w:rFonts w:hint="eastAsia" w:ascii="宋体" w:hAnsi="宋体" w:eastAsia="宋体" w:cs="宋体"/>
          <w:highlight w:val="none"/>
        </w:rPr>
      </w:pPr>
      <w:r>
        <w:rPr>
          <w:rFonts w:hint="eastAsia" w:ascii="宋体" w:hAnsi="宋体" w:eastAsia="宋体" w:cs="宋体"/>
          <w:highlight w:val="none"/>
        </w:rPr>
        <w:t xml:space="preserve">夏季通风温度（干球） </w:t>
      </w:r>
      <w:r>
        <w:rPr>
          <w:rFonts w:hint="eastAsia" w:ascii="宋体" w:hAnsi="宋体" w:eastAsia="宋体" w:cs="宋体"/>
          <w:highlight w:val="none"/>
        </w:rPr>
        <w:tab/>
      </w:r>
      <w:r>
        <w:rPr>
          <w:rFonts w:hint="eastAsia" w:ascii="宋体" w:hAnsi="宋体" w:eastAsia="宋体" w:cs="宋体"/>
          <w:highlight w:val="none"/>
        </w:rPr>
        <w:t xml:space="preserve">      31.8度摄氏 </w:t>
      </w:r>
    </w:p>
    <w:p>
      <w:pPr>
        <w:ind w:left="1348" w:right="990"/>
        <w:rPr>
          <w:rFonts w:hint="eastAsia" w:ascii="宋体" w:hAnsi="宋体" w:eastAsia="宋体" w:cs="宋体"/>
          <w:highlight w:val="none"/>
        </w:rPr>
      </w:pPr>
    </w:p>
    <w:p>
      <w:pPr>
        <w:tabs>
          <w:tab w:val="center" w:pos="1713"/>
          <w:tab w:val="center" w:pos="5913"/>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冬季： </w:t>
      </w:r>
      <w:r>
        <w:rPr>
          <w:rFonts w:hint="eastAsia" w:ascii="宋体" w:hAnsi="宋体" w:eastAsia="宋体" w:cs="宋体"/>
          <w:highlight w:val="none"/>
        </w:rPr>
        <w:tab/>
      </w:r>
      <w:r>
        <w:rPr>
          <w:rFonts w:hint="eastAsia" w:ascii="宋体" w:hAnsi="宋体" w:eastAsia="宋体" w:cs="宋体"/>
          <w:highlight w:val="none"/>
        </w:rPr>
        <w:t xml:space="preserve">极端温度（干球） </w:t>
      </w:r>
    </w:p>
    <w:p>
      <w:pPr>
        <w:tabs>
          <w:tab w:val="center" w:pos="1353"/>
          <w:tab w:val="center" w:pos="5373"/>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0度摄氏 </w:t>
      </w:r>
    </w:p>
    <w:p>
      <w:pPr>
        <w:ind w:left="1348" w:right="0"/>
        <w:rPr>
          <w:rFonts w:hint="eastAsia" w:ascii="宋体" w:hAnsi="宋体" w:eastAsia="宋体" w:cs="宋体"/>
          <w:highlight w:val="none"/>
        </w:rPr>
      </w:pPr>
      <w:r>
        <w:rPr>
          <w:rFonts w:hint="eastAsia" w:ascii="宋体" w:hAnsi="宋体" w:eastAsia="宋体" w:cs="宋体"/>
          <w:highlight w:val="none"/>
        </w:rPr>
        <w:t xml:space="preserve">(‘极端’指记录所得的最低温度) </w:t>
      </w:r>
    </w:p>
    <w:p>
      <w:pPr>
        <w:spacing w:after="0" w:line="259" w:lineRule="auto"/>
        <w:ind w:left="1353" w:right="0" w:firstLine="0"/>
        <w:rPr>
          <w:rFonts w:hint="eastAsia" w:ascii="宋体" w:hAnsi="宋体" w:eastAsia="宋体" w:cs="宋体"/>
          <w:highlight w:val="none"/>
        </w:rPr>
      </w:pP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4.1.2     雨量 </w:t>
      </w:r>
    </w:p>
    <w:p>
      <w:pPr>
        <w:tabs>
          <w:tab w:val="center" w:pos="1833"/>
          <w:tab w:val="center" w:pos="5787"/>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降雨强度 </w:t>
      </w:r>
      <w:r>
        <w:rPr>
          <w:rFonts w:hint="eastAsia" w:ascii="宋体" w:hAnsi="宋体" w:eastAsia="宋体" w:cs="宋体"/>
          <w:highlight w:val="none"/>
        </w:rPr>
        <w:tab/>
      </w:r>
      <w:r>
        <w:rPr>
          <w:rFonts w:hint="eastAsia" w:ascii="宋体" w:hAnsi="宋体" w:eastAsia="宋体" w:cs="宋体"/>
          <w:highlight w:val="none"/>
        </w:rPr>
        <w:t xml:space="preserve">每小时 188 毫米 </w:t>
      </w:r>
    </w:p>
    <w:p>
      <w:pPr>
        <w:spacing w:after="22" w:line="259" w:lineRule="auto"/>
        <w:ind w:left="272"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4.1.3     平均风速 </w:t>
      </w:r>
    </w:p>
    <w:p>
      <w:pPr>
        <w:ind w:left="1348" w:right="3203"/>
        <w:rPr>
          <w:rFonts w:hint="eastAsia" w:ascii="宋体" w:hAnsi="宋体" w:eastAsia="宋体" w:cs="宋体"/>
          <w:highlight w:val="none"/>
        </w:rPr>
      </w:pPr>
      <w:r>
        <w:rPr>
          <w:rFonts w:hint="eastAsia" w:ascii="宋体" w:hAnsi="宋体" w:eastAsia="宋体" w:cs="宋体"/>
          <w:highlight w:val="none"/>
        </w:rPr>
        <w:t xml:space="preserve">冬季                        </w:t>
      </w:r>
      <w:r>
        <w:rPr>
          <w:rFonts w:hint="eastAsia" w:ascii="宋体" w:hAnsi="宋体" w:eastAsia="宋体" w:cs="宋体"/>
          <w:highlight w:val="none"/>
        </w:rPr>
        <w:tab/>
      </w:r>
      <w:r>
        <w:rPr>
          <w:rFonts w:hint="eastAsia" w:ascii="宋体" w:hAnsi="宋体" w:eastAsia="宋体" w:cs="宋体"/>
          <w:highlight w:val="none"/>
        </w:rPr>
        <w:t>1.7米/秒</w:t>
      </w:r>
    </w:p>
    <w:p>
      <w:pPr>
        <w:ind w:left="1348" w:right="3203"/>
        <w:rPr>
          <w:rFonts w:hint="eastAsia" w:ascii="宋体" w:hAnsi="宋体" w:eastAsia="宋体" w:cs="宋体"/>
          <w:highlight w:val="none"/>
        </w:rPr>
      </w:pPr>
      <w:r>
        <w:rPr>
          <w:rFonts w:hint="eastAsia" w:ascii="宋体" w:hAnsi="宋体" w:eastAsia="宋体" w:cs="宋体"/>
          <w:highlight w:val="none"/>
        </w:rPr>
        <w:t xml:space="preserve">夏季                        </w:t>
      </w:r>
      <w:r>
        <w:rPr>
          <w:rFonts w:hint="eastAsia" w:ascii="宋体" w:hAnsi="宋体" w:eastAsia="宋体" w:cs="宋体"/>
          <w:highlight w:val="none"/>
        </w:rPr>
        <w:tab/>
      </w:r>
      <w:r>
        <w:rPr>
          <w:rFonts w:hint="eastAsia" w:ascii="宋体" w:hAnsi="宋体" w:eastAsia="宋体" w:cs="宋体"/>
          <w:highlight w:val="none"/>
        </w:rPr>
        <w:t>1.7米/秒</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4.1.4     地震 </w:t>
      </w:r>
    </w:p>
    <w:p>
      <w:pPr>
        <w:tabs>
          <w:tab w:val="center" w:pos="2553"/>
          <w:tab w:val="center" w:pos="5157"/>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基本烈度（中国标准） </w:t>
      </w:r>
      <w:r>
        <w:rPr>
          <w:rFonts w:hint="eastAsia" w:ascii="宋体" w:hAnsi="宋体" w:eastAsia="宋体" w:cs="宋体"/>
          <w:highlight w:val="none"/>
        </w:rPr>
        <w:tab/>
      </w:r>
      <w:r>
        <w:rPr>
          <w:rFonts w:hint="eastAsia" w:ascii="宋体" w:hAnsi="宋体" w:eastAsia="宋体" w:cs="宋体"/>
          <w:highlight w:val="none"/>
        </w:rPr>
        <w:t xml:space="preserve">7 度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4.1.5     相对湿度 </w:t>
      </w:r>
    </w:p>
    <w:p>
      <w:pPr>
        <w:ind w:left="1348" w:right="2230"/>
        <w:rPr>
          <w:rFonts w:hint="eastAsia" w:ascii="宋体" w:hAnsi="宋体" w:eastAsia="宋体" w:cs="宋体"/>
          <w:highlight w:val="none"/>
        </w:rPr>
      </w:pPr>
      <w:r>
        <w:rPr>
          <w:rFonts w:hint="eastAsia" w:ascii="宋体" w:hAnsi="宋体" w:eastAsia="宋体" w:cs="宋体"/>
          <w:highlight w:val="none"/>
        </w:rPr>
        <w:t xml:space="preserve">最热月份平均值              </w:t>
      </w:r>
      <w:r>
        <w:rPr>
          <w:rFonts w:hint="eastAsia" w:ascii="宋体" w:hAnsi="宋体" w:eastAsia="宋体" w:cs="宋体"/>
          <w:highlight w:val="none"/>
        </w:rPr>
        <w:tab/>
      </w:r>
      <w:r>
        <w:rPr>
          <w:rFonts w:hint="eastAsia" w:ascii="宋体" w:hAnsi="宋体" w:eastAsia="宋体" w:cs="宋体"/>
          <w:highlight w:val="none"/>
        </w:rPr>
        <w:t xml:space="preserve">84.1% </w:t>
      </w:r>
    </w:p>
    <w:p>
      <w:pPr>
        <w:ind w:left="1348" w:right="2230"/>
        <w:rPr>
          <w:rFonts w:hint="eastAsia" w:ascii="宋体" w:hAnsi="宋体" w:eastAsia="宋体" w:cs="宋体"/>
          <w:highlight w:val="none"/>
        </w:rPr>
      </w:pPr>
      <w:r>
        <w:rPr>
          <w:rFonts w:hint="eastAsia" w:ascii="宋体" w:hAnsi="宋体" w:eastAsia="宋体" w:cs="宋体"/>
          <w:highlight w:val="none"/>
        </w:rPr>
        <w:t xml:space="preserve">最冷月份平均值              </w:t>
      </w:r>
      <w:r>
        <w:rPr>
          <w:rFonts w:hint="eastAsia" w:ascii="宋体" w:hAnsi="宋体" w:eastAsia="宋体" w:cs="宋体"/>
          <w:highlight w:val="none"/>
        </w:rPr>
        <w:tab/>
      </w:r>
      <w:r>
        <w:rPr>
          <w:rFonts w:hint="eastAsia" w:ascii="宋体" w:hAnsi="宋体" w:eastAsia="宋体" w:cs="宋体"/>
          <w:highlight w:val="none"/>
        </w:rPr>
        <w:t xml:space="preserve">72%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4.2      设备规格及设计所需符合的环境条件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4.2.1  </w:t>
      </w:r>
      <w:r>
        <w:rPr>
          <w:rFonts w:hint="eastAsia" w:ascii="宋体" w:hAnsi="宋体" w:eastAsia="宋体" w:cs="宋体"/>
          <w:highlight w:val="none"/>
        </w:rPr>
        <w:tab/>
      </w:r>
      <w:r>
        <w:rPr>
          <w:rFonts w:hint="eastAsia" w:ascii="宋体" w:hAnsi="宋体" w:eastAsia="宋体" w:cs="宋体"/>
          <w:highlight w:val="none"/>
        </w:rPr>
        <w:t xml:space="preserve">除本技术规格说明书特别注明外，所有设备包括电气设备和机械配件都应能于下列的环境条件下进行测试工作及正常操作。 </w:t>
      </w:r>
    </w:p>
    <w:p>
      <w:pPr>
        <w:spacing w:after="5" w:line="255" w:lineRule="auto"/>
        <w:ind w:left="1338" w:right="2190" w:firstLine="0"/>
        <w:jc w:val="both"/>
        <w:rPr>
          <w:rFonts w:hint="eastAsia" w:ascii="宋体" w:hAnsi="宋体" w:eastAsia="宋体" w:cs="宋体"/>
          <w:highlight w:val="none"/>
        </w:rPr>
      </w:pPr>
      <w:r>
        <w:rPr>
          <w:rFonts w:hint="eastAsia" w:ascii="宋体" w:hAnsi="宋体" w:eastAsia="宋体" w:cs="宋体"/>
          <w:highlight w:val="none"/>
        </w:rPr>
        <w:t xml:space="preserve">夏季                          </w:t>
      </w:r>
      <w:r>
        <w:rPr>
          <w:rFonts w:hint="eastAsia" w:ascii="宋体" w:hAnsi="宋体" w:eastAsia="宋体" w:cs="宋体"/>
          <w:highlight w:val="none"/>
        </w:rPr>
        <w:tab/>
      </w:r>
      <w:r>
        <w:rPr>
          <w:rFonts w:hint="eastAsia" w:ascii="宋体" w:hAnsi="宋体" w:eastAsia="宋体" w:cs="宋体"/>
          <w:highlight w:val="none"/>
        </w:rPr>
        <w:t>40度摄氏（干球温度）</w:t>
      </w:r>
    </w:p>
    <w:p>
      <w:pPr>
        <w:spacing w:after="5" w:line="255" w:lineRule="auto"/>
        <w:ind w:left="1338" w:right="2190" w:firstLine="0"/>
        <w:jc w:val="both"/>
        <w:rPr>
          <w:rFonts w:hint="eastAsia" w:ascii="宋体" w:hAnsi="宋体" w:eastAsia="宋体" w:cs="宋体"/>
          <w:highlight w:val="none"/>
        </w:rPr>
      </w:pPr>
      <w:r>
        <w:rPr>
          <w:rFonts w:hint="eastAsia" w:ascii="宋体" w:hAnsi="宋体" w:eastAsia="宋体" w:cs="宋体"/>
          <w:highlight w:val="none"/>
        </w:rPr>
        <w:t xml:space="preserve">冬季                          </w:t>
      </w:r>
      <w:r>
        <w:rPr>
          <w:rFonts w:hint="eastAsia" w:ascii="宋体" w:hAnsi="宋体" w:eastAsia="宋体" w:cs="宋体"/>
          <w:highlight w:val="none"/>
        </w:rPr>
        <w:tab/>
      </w:r>
      <w:r>
        <w:rPr>
          <w:rFonts w:hint="eastAsia" w:ascii="宋体" w:hAnsi="宋体" w:eastAsia="宋体" w:cs="宋体"/>
          <w:highlight w:val="none"/>
        </w:rPr>
        <w:t>-4度摄氏（干球温度）</w:t>
      </w:r>
    </w:p>
    <w:p>
      <w:pPr>
        <w:spacing w:after="5" w:line="255" w:lineRule="auto"/>
        <w:ind w:left="1338" w:right="2190" w:firstLine="0"/>
        <w:jc w:val="both"/>
        <w:rPr>
          <w:rFonts w:hint="eastAsia" w:ascii="宋体" w:hAnsi="宋体" w:eastAsia="宋体" w:cs="宋体"/>
          <w:highlight w:val="none"/>
        </w:rPr>
      </w:pPr>
      <w:r>
        <w:rPr>
          <w:rFonts w:hint="eastAsia" w:ascii="宋体" w:hAnsi="宋体" w:eastAsia="宋体" w:cs="宋体"/>
          <w:highlight w:val="none"/>
        </w:rPr>
        <w:t xml:space="preserve">相对湿度                      </w:t>
      </w:r>
      <w:r>
        <w:rPr>
          <w:rFonts w:hint="eastAsia" w:ascii="宋体" w:hAnsi="宋体" w:eastAsia="宋体" w:cs="宋体"/>
          <w:highlight w:val="none"/>
        </w:rPr>
        <w:tab/>
      </w:r>
      <w:r>
        <w:rPr>
          <w:rFonts w:hint="eastAsia" w:ascii="宋体" w:hAnsi="宋体" w:eastAsia="宋体" w:cs="宋体"/>
          <w:highlight w:val="none"/>
        </w:rPr>
        <w:t xml:space="preserve">99% </w:t>
      </w:r>
    </w:p>
    <w:p>
      <w:pPr>
        <w:spacing w:after="3"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4.2.2  </w:t>
      </w:r>
      <w:r>
        <w:rPr>
          <w:rFonts w:hint="eastAsia" w:ascii="宋体" w:hAnsi="宋体" w:eastAsia="宋体" w:cs="宋体"/>
          <w:highlight w:val="none"/>
        </w:rPr>
        <w:tab/>
      </w:r>
      <w:r>
        <w:rPr>
          <w:rFonts w:hint="eastAsia" w:ascii="宋体" w:hAnsi="宋体" w:eastAsia="宋体" w:cs="宋体"/>
          <w:highlight w:val="none"/>
        </w:rPr>
        <w:t>按本技术规格说明书要求，部份设备需在更恶劣的环境条件下作正常性运作，</w:t>
      </w:r>
    </w:p>
    <w:p>
      <w:pPr>
        <w:ind w:left="1348" w:right="0"/>
        <w:rPr>
          <w:rFonts w:hint="eastAsia" w:ascii="宋体" w:hAnsi="宋体" w:eastAsia="宋体" w:cs="宋体"/>
          <w:highlight w:val="none"/>
        </w:rPr>
      </w:pPr>
      <w:r>
        <w:rPr>
          <w:rFonts w:hint="eastAsia" w:ascii="宋体" w:hAnsi="宋体" w:eastAsia="宋体" w:cs="宋体"/>
          <w:highlight w:val="none"/>
        </w:rPr>
        <w:t xml:space="preserve">而所有设备有可能需要在较高温度和湿度的恶劣环境条件下作短暂性的操作。 </w:t>
      </w:r>
    </w:p>
    <w:p>
      <w:pPr>
        <w:spacing w:after="2"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4.2.3  </w:t>
      </w:r>
      <w:r>
        <w:rPr>
          <w:rFonts w:hint="eastAsia" w:ascii="宋体" w:hAnsi="宋体" w:eastAsia="宋体" w:cs="宋体"/>
          <w:highlight w:val="none"/>
        </w:rPr>
        <w:tab/>
      </w:r>
      <w:r>
        <w:rPr>
          <w:rFonts w:hint="eastAsia" w:ascii="宋体" w:hAnsi="宋体" w:eastAsia="宋体" w:cs="宋体"/>
          <w:highlight w:val="none"/>
        </w:rPr>
        <w:t xml:space="preserve">按当地环保局及《声环境质量标准》GB3096-2008 中 2 类标准的要求及项目之声学顾问（如有）提出之要求。所有设备必须为低噪声和高效率型，及并须符合下列噪声管制要求。(以上所提出之要求不一致时，按其中较严格的执行) </w:t>
      </w:r>
    </w:p>
    <w:p>
      <w:pPr>
        <w:spacing w:after="5" w:line="255" w:lineRule="auto"/>
        <w:ind w:left="1338" w:right="1360" w:firstLine="0"/>
        <w:jc w:val="both"/>
        <w:rPr>
          <w:rFonts w:hint="eastAsia" w:ascii="宋体" w:hAnsi="宋体" w:eastAsia="宋体" w:cs="宋体"/>
          <w:highlight w:val="none"/>
        </w:rPr>
      </w:pPr>
      <w:r>
        <w:rPr>
          <w:rFonts w:hint="eastAsia" w:ascii="宋体" w:hAnsi="宋体" w:eastAsia="宋体" w:cs="宋体"/>
          <w:highlight w:val="none"/>
        </w:rPr>
        <w:t>白天                              不大于60分贝</w:t>
      </w:r>
    </w:p>
    <w:p>
      <w:pPr>
        <w:spacing w:after="5" w:line="255" w:lineRule="auto"/>
        <w:ind w:left="1338" w:right="1360" w:firstLine="0"/>
        <w:jc w:val="both"/>
        <w:rPr>
          <w:rFonts w:hint="eastAsia" w:ascii="宋体" w:hAnsi="宋体" w:eastAsia="宋体" w:cs="宋体"/>
          <w:highlight w:val="none"/>
        </w:rPr>
      </w:pPr>
      <w:r>
        <w:rPr>
          <w:rFonts w:hint="eastAsia" w:ascii="宋体" w:hAnsi="宋体" w:eastAsia="宋体" w:cs="宋体"/>
          <w:highlight w:val="none"/>
        </w:rPr>
        <w:t>夜间                              不大于50分贝</w:t>
      </w:r>
    </w:p>
    <w:p>
      <w:pPr>
        <w:spacing w:after="5" w:line="255" w:lineRule="auto"/>
        <w:ind w:left="1338" w:right="1360" w:firstLine="0"/>
        <w:jc w:val="both"/>
        <w:rPr>
          <w:rFonts w:hint="eastAsia" w:ascii="宋体" w:hAnsi="宋体" w:eastAsia="宋体" w:cs="宋体"/>
          <w:highlight w:val="none"/>
        </w:rPr>
      </w:pPr>
      <w:r>
        <w:rPr>
          <w:rFonts w:hint="eastAsia" w:ascii="宋体" w:hAnsi="宋体" w:eastAsia="宋体" w:cs="宋体"/>
          <w:highlight w:val="none"/>
        </w:rPr>
        <w:t>机房内                            不大于75分贝</w:t>
      </w:r>
    </w:p>
    <w:p>
      <w:pPr>
        <w:spacing w:after="5" w:line="255" w:lineRule="auto"/>
        <w:ind w:left="1338" w:right="1360" w:firstLine="0"/>
        <w:jc w:val="both"/>
        <w:rPr>
          <w:rFonts w:hint="eastAsia" w:ascii="宋体" w:hAnsi="宋体" w:eastAsia="宋体" w:cs="宋体"/>
          <w:highlight w:val="none"/>
        </w:rPr>
      </w:pPr>
      <w:r>
        <w:rPr>
          <w:rFonts w:hint="eastAsia" w:ascii="宋体" w:hAnsi="宋体" w:eastAsia="宋体" w:cs="宋体"/>
          <w:highlight w:val="none"/>
        </w:rPr>
        <w:t xml:space="preserve">井道                              不大于55分贝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4.3     </w:t>
      </w:r>
      <w:r>
        <w:rPr>
          <w:rFonts w:hint="eastAsia" w:ascii="宋体" w:hAnsi="宋体" w:eastAsia="宋体" w:cs="宋体"/>
          <w:highlight w:val="none"/>
        </w:rPr>
        <w:tab/>
      </w:r>
      <w:r>
        <w:rPr>
          <w:rFonts w:hint="eastAsia" w:ascii="宋体" w:hAnsi="宋体" w:eastAsia="宋体" w:cs="宋体"/>
          <w:highlight w:val="none"/>
        </w:rPr>
        <w:t xml:space="preserve">抗震保护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抗震设防烈度为6度及6度以上地区的建筑机电工程必须进行抗震设计。故承包单位应根据有关要求及标准对其负责的设备提供适当的抗震保护。 </w:t>
      </w:r>
    </w:p>
    <w:p>
      <w:pPr>
        <w:spacing w:after="1"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6" w:name="_Toc22116"/>
      <w:r>
        <w:rPr>
          <w:rFonts w:hint="eastAsia" w:ascii="宋体" w:hAnsi="宋体" w:eastAsia="宋体" w:cs="宋体"/>
          <w:b/>
          <w:bCs/>
          <w:highlight w:val="none"/>
        </w:rPr>
        <w:t>供电条件</w:t>
      </w:r>
      <w:bookmarkEnd w:id="6"/>
      <w:r>
        <w:rPr>
          <w:rFonts w:hint="eastAsia" w:ascii="宋体" w:hAnsi="宋体" w:eastAsia="宋体" w:cs="宋体"/>
          <w:b/>
          <w:bCs/>
          <w:highlight w:val="none"/>
        </w:rPr>
        <w:t xml:space="preserve">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5.1      除本技术规格说明书另有说明外，所有电气设备及安装应按下列的电压操作： </w:t>
      </w:r>
    </w:p>
    <w:p>
      <w:pPr>
        <w:ind w:left="1348" w:right="2455"/>
        <w:rPr>
          <w:rFonts w:hint="eastAsia" w:ascii="宋体" w:hAnsi="宋体" w:eastAsia="宋体" w:cs="宋体"/>
          <w:highlight w:val="none"/>
        </w:rPr>
      </w:pPr>
      <w:r>
        <w:rPr>
          <w:rFonts w:hint="eastAsia" w:ascii="宋体" w:hAnsi="宋体" w:eastAsia="宋体" w:cs="宋体"/>
          <w:highlight w:val="none"/>
        </w:rPr>
        <w:t xml:space="preserve">电压：                </w:t>
      </w:r>
      <w:r>
        <w:rPr>
          <w:rFonts w:hint="eastAsia" w:ascii="宋体" w:hAnsi="宋体" w:eastAsia="宋体" w:cs="宋体"/>
          <w:highlight w:val="none"/>
        </w:rPr>
        <w:tab/>
      </w:r>
      <w:r>
        <w:rPr>
          <w:rFonts w:hint="eastAsia" w:ascii="宋体" w:hAnsi="宋体" w:eastAsia="宋体" w:cs="宋体"/>
          <w:highlight w:val="none"/>
        </w:rPr>
        <w:t>380伏供三相</w:t>
      </w:r>
    </w:p>
    <w:p>
      <w:pPr>
        <w:ind w:left="1348" w:right="2455"/>
        <w:rPr>
          <w:rFonts w:hint="eastAsia" w:ascii="宋体" w:hAnsi="宋体" w:eastAsia="宋体" w:cs="宋体"/>
          <w:highlight w:val="none"/>
        </w:rPr>
      </w:pPr>
      <w:r>
        <w:rPr>
          <w:rFonts w:hint="eastAsia" w:ascii="宋体" w:hAnsi="宋体" w:eastAsia="宋体" w:cs="宋体"/>
          <w:highlight w:val="none"/>
        </w:rPr>
        <w:t xml:space="preserve">设备： </w:t>
      </w:r>
      <w:r>
        <w:rPr>
          <w:rFonts w:hint="eastAsia" w:ascii="宋体" w:hAnsi="宋体" w:eastAsia="宋体" w:cs="宋体"/>
          <w:highlight w:val="none"/>
        </w:rPr>
        <w:tab/>
      </w:r>
      <w:r>
        <w:rPr>
          <w:rFonts w:hint="eastAsia" w:ascii="宋体" w:hAnsi="宋体" w:eastAsia="宋体" w:cs="宋体"/>
          <w:highlight w:val="none"/>
        </w:rPr>
        <w:t xml:space="preserve">              220伏供单相设备</w:t>
      </w:r>
    </w:p>
    <w:p>
      <w:pPr>
        <w:ind w:left="1348" w:right="2455"/>
        <w:rPr>
          <w:rFonts w:hint="eastAsia" w:ascii="宋体" w:hAnsi="宋体" w:eastAsia="宋体" w:cs="宋体"/>
          <w:highlight w:val="none"/>
        </w:rPr>
      </w:pPr>
      <w:r>
        <w:rPr>
          <w:rFonts w:hint="eastAsia" w:ascii="宋体" w:hAnsi="宋体" w:eastAsia="宋体" w:cs="宋体"/>
          <w:highlight w:val="none"/>
        </w:rPr>
        <w:t xml:space="preserve">频率：               </w:t>
      </w:r>
      <w:r>
        <w:rPr>
          <w:rFonts w:hint="eastAsia" w:ascii="宋体" w:hAnsi="宋体" w:eastAsia="宋体" w:cs="宋体"/>
          <w:highlight w:val="none"/>
        </w:rPr>
        <w:tab/>
      </w:r>
      <w:r>
        <w:rPr>
          <w:rFonts w:hint="eastAsia" w:ascii="宋体" w:hAnsi="宋体" w:eastAsia="宋体" w:cs="宋体"/>
          <w:highlight w:val="none"/>
        </w:rPr>
        <w:t xml:space="preserve">50 赫兹 </w:t>
      </w:r>
    </w:p>
    <w:p>
      <w:pPr>
        <w:spacing w:after="3"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5.2      除上述所说明外，所有电气设备亦须适合下列操作条件： </w:t>
      </w:r>
    </w:p>
    <w:p>
      <w:pPr>
        <w:tabs>
          <w:tab w:val="center" w:pos="2699"/>
          <w:tab w:val="center" w:pos="5110"/>
        </w:tabs>
        <w:spacing w:after="3" w:line="256" w:lineRule="auto"/>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380V三相供电电压偏差： </w:t>
      </w:r>
      <w:r>
        <w:rPr>
          <w:rFonts w:hint="eastAsia" w:ascii="宋体" w:hAnsi="宋体" w:eastAsia="宋体" w:cs="宋体"/>
          <w:highlight w:val="none"/>
        </w:rPr>
        <w:tab/>
      </w:r>
      <w:r>
        <w:rPr>
          <w:rFonts w:hint="eastAsia" w:ascii="宋体" w:hAnsi="宋体" w:eastAsia="宋体" w:cs="宋体"/>
          <w:highlight w:val="none"/>
        </w:rPr>
        <w:t xml:space="preserve">+7%~ -7% </w:t>
      </w:r>
    </w:p>
    <w:p>
      <w:pPr>
        <w:tabs>
          <w:tab w:val="center" w:pos="2699"/>
          <w:tab w:val="center" w:pos="5170"/>
        </w:tabs>
        <w:spacing w:after="3" w:line="256" w:lineRule="auto"/>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220V单相供电电压偏差： </w:t>
      </w:r>
      <w:r>
        <w:rPr>
          <w:rFonts w:hint="eastAsia" w:ascii="宋体" w:hAnsi="宋体" w:eastAsia="宋体" w:cs="宋体"/>
          <w:highlight w:val="none"/>
        </w:rPr>
        <w:tab/>
      </w:r>
      <w:r>
        <w:rPr>
          <w:rFonts w:hint="eastAsia" w:ascii="宋体" w:hAnsi="宋体" w:eastAsia="宋体" w:cs="宋体"/>
          <w:highlight w:val="none"/>
        </w:rPr>
        <w:t xml:space="preserve">+7%~ -10% </w:t>
      </w:r>
    </w:p>
    <w:p>
      <w:pPr>
        <w:ind w:left="1348" w:right="0"/>
        <w:rPr>
          <w:rFonts w:hint="eastAsia" w:ascii="宋体" w:hAnsi="宋体" w:eastAsia="宋体" w:cs="宋体"/>
          <w:highlight w:val="none"/>
        </w:rPr>
      </w:pPr>
      <w:r>
        <w:rPr>
          <w:rFonts w:hint="eastAsia" w:ascii="宋体" w:hAnsi="宋体" w:eastAsia="宋体" w:cs="宋体"/>
          <w:highlight w:val="none"/>
        </w:rPr>
        <w:t xml:space="preserve">频率波动：                 ±2%正常数值 </w:t>
      </w:r>
    </w:p>
    <w:p>
      <w:pPr>
        <w:spacing w:after="0" w:line="259" w:lineRule="auto"/>
        <w:ind w:left="992" w:right="0" w:firstLine="0"/>
        <w:rPr>
          <w:rFonts w:hint="eastAsia" w:ascii="宋体" w:hAnsi="宋体" w:eastAsia="宋体" w:cs="宋体"/>
          <w:highlight w:val="none"/>
        </w:rPr>
      </w:pPr>
      <w:r>
        <w:rPr>
          <w:rFonts w:hint="eastAsia" w:ascii="宋体" w:hAnsi="宋体" w:eastAsia="宋体" w:cs="宋体"/>
          <w:sz w:val="22"/>
          <w:highlight w:val="none"/>
        </w:rPr>
        <w:t xml:space="preserve"> </w:t>
      </w:r>
      <w:r>
        <w:rPr>
          <w:rFonts w:hint="eastAsia" w:ascii="宋体" w:hAnsi="宋体" w:eastAsia="宋体" w:cs="宋体"/>
          <w:sz w:val="22"/>
          <w:highlight w:val="none"/>
        </w:rPr>
        <w:tab/>
      </w:r>
      <w:r>
        <w:rPr>
          <w:rFonts w:hint="eastAsia" w:ascii="宋体" w:hAnsi="宋体" w:eastAsia="宋体" w:cs="宋体"/>
          <w:sz w:val="22"/>
          <w:highlight w:val="none"/>
        </w:rPr>
        <w:t xml:space="preserve"> </w:t>
      </w:r>
    </w:p>
    <w:p>
      <w:pPr>
        <w:pStyle w:val="2"/>
        <w:ind w:left="1350" w:right="0" w:hanging="1078"/>
        <w:rPr>
          <w:rFonts w:hint="eastAsia" w:ascii="宋体" w:hAnsi="宋体" w:eastAsia="宋体" w:cs="宋体"/>
          <w:b/>
          <w:bCs/>
          <w:highlight w:val="none"/>
        </w:rPr>
      </w:pPr>
      <w:bookmarkStart w:id="7" w:name="_Toc14191"/>
      <w:r>
        <w:rPr>
          <w:rFonts w:hint="eastAsia" w:ascii="宋体" w:hAnsi="宋体" w:eastAsia="宋体" w:cs="宋体"/>
          <w:b/>
          <w:bCs/>
          <w:highlight w:val="none"/>
        </w:rPr>
        <w:t>工地现场条件勘察</w:t>
      </w:r>
      <w:bookmarkEnd w:id="7"/>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6.1      当工地现场的土建工作已陆续展开时，为配合有关机电系统的安装，在建筑方面已预留部份设施，包括各机电用房的安排、墙体及楼板孔洞、管道之预留、或设备基础等。上述预留的设施因未经机电承包单位协调，其大小、数量或位置未必完善，智能化承包单位议标前宜作一实地考察，将需要加添或修改之工作提出并包括在标价内，否则日后一切所需之土建改动及对工程进度引致之延续的损失，需由承包单位负责。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6.2      在收到正式中标通告书及图纸后之二十一天内，承包单位须以书面确认并提供会对建筑结构的形体和强度有影响的有关资料，包括设备进出的吊装孔洞要求，供建筑师/工程师审核。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6.3      在实际施工进行前，承包单位须以书面确认有关预留的设施可满足本合约范围内施工的要求。如有需要，承包单位须提供打凿土建的资料给予工程师批准。 </w:t>
      </w:r>
    </w:p>
    <w:p>
      <w:pPr>
        <w:spacing w:after="2"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8" w:name="_Toc4411"/>
      <w:r>
        <w:rPr>
          <w:rFonts w:hint="eastAsia" w:ascii="宋体" w:hAnsi="宋体" w:eastAsia="宋体" w:cs="宋体"/>
          <w:b/>
          <w:bCs/>
          <w:highlight w:val="none"/>
        </w:rPr>
        <w:t>工作协调及配合</w:t>
      </w:r>
      <w:bookmarkEnd w:id="8"/>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7.1      在招标图纸及合同规范上之管线及设备布置之安排，用意是表示一般布置要求及基本设计要求，实际承包单位需协调所有设备并与其它承包单位协调，作出最合理之安排。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7.2      如因工地环境，承包单位对系统作出部份修改，这些细节须向业主代表申请批准。整个系统之供应及安装等应完全得到业主代表之认可。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7.3      承包单位应向总承包单位取得最新之技术资料、细节、其它承包单位工作的布置图与及最新之建筑及结构图纸，经完全协调后，在其深化施工图上按照实际要求将设备布置及安装恰当。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7.4      承包单位应向总承包单位提供技术资料，细节及其系统设备布置图纸，并与总承包单位及其它承包单位合作和协调，使工程能适当和顺利地完成。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7.5      承包单位应负责及承担所有因其未经或不恰当地与总承包单位和其它承包单位之协调及合作而引致之错误及工期进度之延误之损失，并包括将装备拆下及重新安装之费用。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9" w:name="_Toc5630"/>
      <w:r>
        <w:rPr>
          <w:rFonts w:hint="eastAsia" w:ascii="宋体" w:hAnsi="宋体" w:eastAsia="宋体" w:cs="宋体"/>
          <w:b/>
          <w:bCs/>
          <w:highlight w:val="none"/>
        </w:rPr>
        <w:t>定位</w:t>
      </w:r>
      <w:bookmarkEnd w:id="9"/>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8.1      承包单位应负责将其系统所有设备安装在正确和合适的位置、标高、空间和准线上，并提供一切所需之仪器、装备和人员以确保定位之准确性。在施工期之任何时间内，如发觉其设备所装置的位置、标高、尺寸或准线错误，承包单位应负责修改及承担一切有关之费用。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8.2      虽然建筑的定位、墨线及标高等由建筑师/工程师负责测定，但并非豁免承包单位之责任，承包单位仍须负责核查所有有关装备之安装定位，并保留一切定位基准记号。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8.3      承包单位应负责工地上其装置位置之测量及核查，并在工地上标示其建筑工作要求。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8.4      承包单位要负责所有因其深化施工图及工地标示其建筑工作要求之错漏而引致总承包单位需作出额外工作之费用。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8.5      承包单位应确保其系统装备能完全配合和放置在预留的位置上，并留有充裕之空间作为将来维修及保养之用。若承包单位的工作未能达至上述需求，应负责按业主/工程师要求修改并承担一切有关费用。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0" w:name="_Toc30320"/>
      <w:r>
        <w:rPr>
          <w:rFonts w:hint="eastAsia" w:ascii="宋体" w:hAnsi="宋体" w:eastAsia="宋体" w:cs="宋体"/>
          <w:b/>
          <w:bCs/>
          <w:highlight w:val="none"/>
        </w:rPr>
        <w:t>物料的存储及保管</w:t>
      </w:r>
      <w:bookmarkEnd w:id="10"/>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      承包单位应充分了解施工现场其物料及其摆放位置。总承包单位会根据其工作进度安排空间供承包单位摆放物料。承包单位应跟从这一进度和安排，计划其设备及物料运抵现场。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9.2      除非得到建筑师/工程师之书面指示，所有贮存于施工现场以外的物料、设备，其费用均由承包单位负责。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9.3      贮放于现场之设备及物料均应跟从制造商建议之贮藏方法，并且保证不违反质量保证书所规定之贮藏方法。金属管道不宜摆放于露天，除非建筑师/工</w:t>
      </w:r>
    </w:p>
    <w:p>
      <w:pPr>
        <w:ind w:left="1348" w:right="0"/>
        <w:rPr>
          <w:rFonts w:hint="eastAsia" w:ascii="宋体" w:hAnsi="宋体" w:eastAsia="宋体" w:cs="宋体"/>
          <w:highlight w:val="none"/>
        </w:rPr>
      </w:pPr>
      <w:r>
        <w:rPr>
          <w:rFonts w:hint="eastAsia" w:ascii="宋体" w:hAnsi="宋体" w:eastAsia="宋体" w:cs="宋体"/>
          <w:highlight w:val="none"/>
        </w:rPr>
        <w:t xml:space="preserve">程师认为管道的摆放方式可以避免由于天气原因发生之侵蚀。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9.4      工程分期付款内之设备及物料，其存放均应便于建筑师/工程师及物料质量师的检查。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9.5      对运抵工地之钢管，应采用被认可之保护涂层保护，并采取适当措施使之不会生锈。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9.6      不允许将其它管道或物料摆放于内衬保温层的管道内。管道的摆放应跟从下述之原则﹕摆放于最低层之管道不可与地面直接接触，分层堆放之窝接管</w:t>
      </w:r>
    </w:p>
    <w:p>
      <w:pPr>
        <w:ind w:left="1348" w:right="0"/>
        <w:rPr>
          <w:rFonts w:hint="eastAsia" w:ascii="宋体" w:hAnsi="宋体" w:eastAsia="宋体" w:cs="宋体"/>
          <w:highlight w:val="none"/>
        </w:rPr>
      </w:pPr>
      <w:r>
        <w:rPr>
          <w:rFonts w:hint="eastAsia" w:ascii="宋体" w:hAnsi="宋体" w:eastAsia="宋体" w:cs="宋体"/>
          <w:highlight w:val="none"/>
        </w:rPr>
        <w:t xml:space="preserve">道，其承接口端应逐层调换位置摆放，堆放高度不得超过二米或不得超过七层(取最小高度者)。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9.7      在施工现场，对由于不适当之存放而引起的设备损坏，承包单位有责任立即更换损坏的设备及材料，以跟从施工进度，而费用由承包单位负责。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9.8 </w:t>
      </w:r>
      <w:r>
        <w:rPr>
          <w:rFonts w:hint="eastAsia" w:ascii="宋体" w:hAnsi="宋体" w:eastAsia="宋体" w:cs="宋体"/>
          <w:highlight w:val="none"/>
        </w:rPr>
        <w:tab/>
      </w:r>
      <w:r>
        <w:rPr>
          <w:rFonts w:hint="eastAsia" w:ascii="宋体" w:hAnsi="宋体" w:eastAsia="宋体" w:cs="宋体"/>
          <w:highlight w:val="none"/>
        </w:rPr>
        <w:t xml:space="preserve">PVC(聚氯乙烯)，及其它塑料管道及管件应摆放于避免阳光直射的地方，并且采用适当方法架空，避免其与地面接触。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9.9      在总承包单位未完成其建筑工程前，承包单位应采取充分之措施保护安装好的设备及未安装之设备及物料，免受恶劣天气及其它因素的破坏。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9.10     工作于室内之电气设备及包含电气组件之设备应存放于防潮的空间内。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9.11     工作于室内的设备应存放于防风雨的空间内。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9.12     当设备由几个部份构成时，组件应分开包装并在包装上清楚标明组件名称及制造厂家。无论是否进口部件，均应提供原厂出厂证的合格文件的资料。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9.13     对于设备之外表面，特别是影响美观之外表面，应特别留意加以保护。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9.14     在运输过程及贮存于施工现场的设备，对设备的传热面应加以特别包装以保护之。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9.15     在阀门之端口、管道、管道之两端应用适当之方法掩盖以防止其它污物的进入。为防止法兰表面的损伤，对法兰应特别加以维护。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9.16 </w:t>
      </w:r>
      <w:r>
        <w:rPr>
          <w:rFonts w:hint="eastAsia" w:ascii="宋体" w:hAnsi="宋体" w:eastAsia="宋体" w:cs="宋体"/>
          <w:highlight w:val="none"/>
        </w:rPr>
        <w:tab/>
      </w:r>
      <w:r>
        <w:rPr>
          <w:rFonts w:hint="eastAsia" w:ascii="宋体" w:hAnsi="宋体" w:eastAsia="宋体" w:cs="宋体"/>
          <w:highlight w:val="none"/>
        </w:rPr>
        <w:t xml:space="preserve">对设备及物料的易于生锈之表面在施工期间应加以保护，直至安装完毕或涂以防锈漆为止。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9.17 </w:t>
      </w:r>
      <w:r>
        <w:rPr>
          <w:rFonts w:hint="eastAsia" w:ascii="宋体" w:hAnsi="宋体" w:eastAsia="宋体" w:cs="宋体"/>
          <w:highlight w:val="none"/>
        </w:rPr>
        <w:tab/>
      </w:r>
      <w:r>
        <w:rPr>
          <w:rFonts w:hint="eastAsia" w:ascii="宋体" w:hAnsi="宋体" w:eastAsia="宋体" w:cs="宋体"/>
          <w:highlight w:val="none"/>
        </w:rPr>
        <w:t xml:space="preserve">在施工现场组装完成之设备，应跟从制造商的指示，加以妥善保护。承包单位应遵从制造商的指示去做，并将结果提交建筑师/工程师。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9.18 </w:t>
      </w:r>
      <w:r>
        <w:rPr>
          <w:rFonts w:hint="eastAsia" w:ascii="宋体" w:hAnsi="宋体" w:eastAsia="宋体" w:cs="宋体"/>
          <w:highlight w:val="none"/>
        </w:rPr>
        <w:tab/>
      </w:r>
      <w:r>
        <w:rPr>
          <w:rFonts w:hint="eastAsia" w:ascii="宋体" w:hAnsi="宋体" w:eastAsia="宋体" w:cs="宋体"/>
          <w:highlight w:val="none"/>
        </w:rPr>
        <w:t xml:space="preserve">低碳钢管道应涂一层保护漆运往施工现场，而所有之低碳钢支架、吊架亦应刷上一层防锈漆。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9.19 </w:t>
      </w:r>
      <w:r>
        <w:rPr>
          <w:rFonts w:hint="eastAsia" w:ascii="宋体" w:hAnsi="宋体" w:eastAsia="宋体" w:cs="宋体"/>
          <w:highlight w:val="none"/>
        </w:rPr>
        <w:tab/>
      </w:r>
      <w:r>
        <w:rPr>
          <w:rFonts w:hint="eastAsia" w:ascii="宋体" w:hAnsi="宋体" w:eastAsia="宋体" w:cs="宋体"/>
          <w:highlight w:val="none"/>
        </w:rPr>
        <w:t xml:space="preserve">焊接之管道，应在焊接后打磨光滑焊缝、清洁焊缝，并在四小时内在焊缝两边 250mm 的范围内涂以防锈漆。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9.20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如镀锌管道在生锈或遭破坏，应用含锌漆油刷两道。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9.21 </w:t>
      </w:r>
      <w:r>
        <w:rPr>
          <w:rFonts w:hint="eastAsia" w:ascii="宋体" w:hAnsi="宋体" w:eastAsia="宋体" w:cs="宋体"/>
          <w:highlight w:val="none"/>
        </w:rPr>
        <w:tab/>
      </w:r>
      <w:r>
        <w:rPr>
          <w:rFonts w:hint="eastAsia" w:ascii="宋体" w:hAnsi="宋体" w:eastAsia="宋体" w:cs="宋体"/>
          <w:highlight w:val="none"/>
        </w:rPr>
        <w:t xml:space="preserve">物料或设备之保护漆/膜如有损坏，则应彻底清洁所有之锈垢、油污及表面之腐蚀物，并涂以新的保护漆/膜。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9.22 </w:t>
      </w:r>
      <w:r>
        <w:rPr>
          <w:rFonts w:hint="eastAsia" w:ascii="宋体" w:hAnsi="宋体" w:eastAsia="宋体" w:cs="宋体"/>
          <w:highlight w:val="none"/>
        </w:rPr>
        <w:tab/>
      </w:r>
      <w:r>
        <w:rPr>
          <w:rFonts w:hint="eastAsia" w:ascii="宋体" w:hAnsi="宋体" w:eastAsia="宋体" w:cs="宋体"/>
          <w:highlight w:val="none"/>
        </w:rPr>
        <w:t xml:space="preserve">物料遭侵蚀、破坏或设备之外表面遭破坏，承包单位应负责更换这些物料及设备，费用亦由承包单位负责。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9.23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当对物料及设备之油漆方法未加说明时，承包单位对物料和设备之油漆须满</w:t>
      </w:r>
    </w:p>
    <w:p>
      <w:pPr>
        <w:ind w:left="1348" w:right="0"/>
        <w:rPr>
          <w:rFonts w:hint="eastAsia" w:ascii="宋体" w:hAnsi="宋体" w:eastAsia="宋体" w:cs="宋体"/>
          <w:highlight w:val="none"/>
        </w:rPr>
      </w:pPr>
      <w:r>
        <w:rPr>
          <w:rFonts w:hint="eastAsia" w:ascii="宋体" w:hAnsi="宋体" w:eastAsia="宋体" w:cs="宋体"/>
          <w:highlight w:val="none"/>
        </w:rPr>
        <w:t xml:space="preserve">足以下要求﹕ </w:t>
      </w:r>
    </w:p>
    <w:p>
      <w:pPr>
        <w:numPr>
          <w:ilvl w:val="0"/>
          <w:numId w:val="7"/>
        </w:numPr>
        <w:ind w:right="0" w:hanging="630"/>
        <w:rPr>
          <w:rFonts w:hint="eastAsia" w:ascii="宋体" w:hAnsi="宋体" w:eastAsia="宋体" w:cs="宋体"/>
          <w:highlight w:val="none"/>
        </w:rPr>
      </w:pPr>
      <w:r>
        <w:rPr>
          <w:rFonts w:hint="eastAsia" w:ascii="宋体" w:hAnsi="宋体" w:eastAsia="宋体" w:cs="宋体"/>
          <w:highlight w:val="none"/>
        </w:rPr>
        <w:t xml:space="preserve">所有金属制造部份须有足够抗锈、抗腐能力。 </w:t>
      </w:r>
    </w:p>
    <w:p>
      <w:pPr>
        <w:numPr>
          <w:ilvl w:val="0"/>
          <w:numId w:val="7"/>
        </w:numPr>
        <w:spacing w:after="5" w:line="255" w:lineRule="auto"/>
        <w:ind w:right="0" w:hanging="630"/>
        <w:rPr>
          <w:rFonts w:hint="eastAsia" w:ascii="宋体" w:hAnsi="宋体" w:eastAsia="宋体" w:cs="宋体"/>
          <w:highlight w:val="none"/>
        </w:rPr>
      </w:pPr>
      <w:r>
        <w:rPr>
          <w:rFonts w:hint="eastAsia" w:ascii="宋体" w:hAnsi="宋体" w:eastAsia="宋体" w:cs="宋体"/>
          <w:highlight w:val="none"/>
        </w:rPr>
        <w:t xml:space="preserve">所有框架、支架、吊架等同低碳钢制品，首先要彻底清洁去除所有之锈  斑、油污等，再涂一层防锈膜然后以金属漆过底，跟着刷两遍调合漆，以符合 BS381C 或有关国家标准之要求，颜色由建筑师/工程师确定。 </w:t>
      </w:r>
    </w:p>
    <w:p>
      <w:pPr>
        <w:numPr>
          <w:ilvl w:val="0"/>
          <w:numId w:val="7"/>
        </w:numPr>
        <w:ind w:right="0" w:hanging="630"/>
        <w:rPr>
          <w:rFonts w:hint="eastAsia" w:ascii="宋体" w:hAnsi="宋体" w:eastAsia="宋体" w:cs="宋体"/>
          <w:highlight w:val="none"/>
        </w:rPr>
      </w:pPr>
      <w:r>
        <w:rPr>
          <w:rFonts w:hint="eastAsia" w:ascii="宋体" w:hAnsi="宋体" w:eastAsia="宋体" w:cs="宋体"/>
          <w:highlight w:val="none"/>
        </w:rPr>
        <w:t xml:space="preserve">电镀之部件应选用镀铬或镀磷(选其中较适宜者)，不允许镀锌或镀镉。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9.24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设备出厂后，设备表面之损坏应跟从如下方法尽快修补好﹕ </w:t>
      </w:r>
    </w:p>
    <w:p>
      <w:pPr>
        <w:numPr>
          <w:ilvl w:val="0"/>
          <w:numId w:val="8"/>
        </w:numPr>
        <w:ind w:right="0" w:hanging="630"/>
        <w:rPr>
          <w:rFonts w:hint="eastAsia" w:ascii="宋体" w:hAnsi="宋体" w:eastAsia="宋体" w:cs="宋体"/>
          <w:highlight w:val="none"/>
        </w:rPr>
      </w:pPr>
      <w:r>
        <w:rPr>
          <w:rFonts w:hint="eastAsia" w:ascii="宋体" w:hAnsi="宋体" w:eastAsia="宋体" w:cs="宋体"/>
          <w:highlight w:val="none"/>
        </w:rPr>
        <w:t xml:space="preserve">金属表面之破坏处，应先清洗破损处至底层金属，并用含锌油漆打底或用建筑师/工程师认可之油漆。 </w:t>
      </w:r>
    </w:p>
    <w:p>
      <w:pPr>
        <w:numPr>
          <w:ilvl w:val="0"/>
          <w:numId w:val="8"/>
        </w:numPr>
        <w:ind w:right="0" w:hanging="630"/>
        <w:rPr>
          <w:rFonts w:hint="eastAsia" w:ascii="宋体" w:hAnsi="宋体" w:eastAsia="宋体" w:cs="宋体"/>
          <w:highlight w:val="none"/>
        </w:rPr>
      </w:pPr>
      <w:r>
        <w:rPr>
          <w:rFonts w:hint="eastAsia" w:ascii="宋体" w:hAnsi="宋体" w:eastAsia="宋体" w:cs="宋体"/>
          <w:highlight w:val="none"/>
        </w:rPr>
        <w:t xml:space="preserve">设备表面破损处，应清洗破损处至底层金属，并用设备之油漆程序及油漆加以修补。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numPr>
          <w:ilvl w:val="1"/>
          <w:numId w:val="9"/>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承包单位应时刻保持其安装工料至合理清洁之程度，并且应尽快清除施工现场之不必要废料。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numPr>
          <w:ilvl w:val="1"/>
          <w:numId w:val="9"/>
        </w:numPr>
        <w:ind w:right="0" w:hanging="1078"/>
        <w:rPr>
          <w:rFonts w:hint="eastAsia" w:ascii="宋体" w:hAnsi="宋体" w:eastAsia="宋体" w:cs="宋体"/>
          <w:highlight w:val="none"/>
        </w:rPr>
      </w:pPr>
      <w:r>
        <w:rPr>
          <w:rFonts w:hint="eastAsia" w:ascii="宋体" w:hAnsi="宋体" w:eastAsia="宋体" w:cs="宋体"/>
          <w:highlight w:val="none"/>
        </w:rPr>
        <w:t xml:space="preserve">施工结束时，承包单位应清除一切暂时的遮盖、外壳、并应清除所有之污迹、标记等，达至建筑师/工程师认可交接之程序。 </w:t>
      </w:r>
    </w:p>
    <w:p>
      <w:pPr>
        <w:spacing w:after="93"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pStyle w:val="2"/>
        <w:spacing w:after="0" w:line="259" w:lineRule="auto"/>
        <w:ind w:left="1350" w:right="0" w:hanging="1078"/>
        <w:rPr>
          <w:rFonts w:hint="eastAsia" w:ascii="宋体" w:hAnsi="宋体" w:eastAsia="宋体" w:cs="宋体"/>
          <w:b/>
          <w:bCs/>
          <w:highlight w:val="none"/>
        </w:rPr>
      </w:pPr>
      <w:bookmarkStart w:id="11" w:name="_Toc22876"/>
      <w:r>
        <w:rPr>
          <w:rFonts w:hint="eastAsia" w:ascii="宋体" w:hAnsi="宋体" w:eastAsia="宋体" w:cs="宋体"/>
          <w:b/>
          <w:bCs/>
          <w:highlight w:val="none"/>
        </w:rPr>
        <w:t>图纸</w:t>
      </w:r>
      <w:bookmarkEnd w:id="11"/>
      <w:r>
        <w:rPr>
          <w:rFonts w:hint="eastAsia" w:ascii="宋体" w:hAnsi="宋体" w:eastAsia="宋体" w:cs="宋体"/>
          <w:b/>
          <w:bCs/>
          <w:highlight w:val="none"/>
        </w:rPr>
        <w:t xml:space="preserve"> </w:t>
      </w:r>
    </w:p>
    <w:p>
      <w:pPr>
        <w:spacing w:after="94"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10.1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招标图纸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10.1.1 </w:t>
      </w:r>
      <w:r>
        <w:rPr>
          <w:rFonts w:hint="eastAsia" w:ascii="宋体" w:hAnsi="宋体" w:eastAsia="宋体" w:cs="宋体"/>
          <w:highlight w:val="none"/>
        </w:rPr>
        <w:tab/>
      </w:r>
      <w:r>
        <w:rPr>
          <w:rFonts w:hint="eastAsia" w:ascii="宋体" w:hAnsi="宋体" w:eastAsia="宋体" w:cs="宋体"/>
          <w:highlight w:val="none"/>
        </w:rPr>
        <w:t xml:space="preserve">招标时连同招标文件所发的有关图纸(招标图或设计单位的施工图)其作用只供承包单位于招标时作为一般指引及在中标后制作其设备和深化施工图的依据，承包单位需负起本机电系统的深化设计、深化施工图制作、供货、安装、调试、验收以及申请并获得批文等的责任。如因承包单位所编制的深化施工图与议标图有所偏差而导致额外费用，所有责任须由承包单位承担。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10.1.2 </w:t>
      </w:r>
      <w:r>
        <w:rPr>
          <w:rFonts w:hint="eastAsia" w:ascii="宋体" w:hAnsi="宋体" w:eastAsia="宋体" w:cs="宋体"/>
          <w:highlight w:val="none"/>
        </w:rPr>
        <w:tab/>
      </w:r>
      <w:r>
        <w:rPr>
          <w:rFonts w:hint="eastAsia" w:ascii="宋体" w:hAnsi="宋体" w:eastAsia="宋体" w:cs="宋体"/>
          <w:highlight w:val="none"/>
        </w:rPr>
        <w:t xml:space="preserve">图纸所示的为基本的设计原理，并同时提供一个已考虑各设备装配相互关系的可行的设备安置，以便承包单位在进行其深化设计及深化施工图制作时作为参照和依据。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10.1.3 </w:t>
      </w:r>
      <w:r>
        <w:rPr>
          <w:rFonts w:hint="eastAsia" w:ascii="宋体" w:hAnsi="宋体" w:eastAsia="宋体" w:cs="宋体"/>
          <w:highlight w:val="none"/>
        </w:rPr>
        <w:tab/>
      </w:r>
      <w:r>
        <w:rPr>
          <w:rFonts w:hint="eastAsia" w:ascii="宋体" w:hAnsi="宋体" w:eastAsia="宋体" w:cs="宋体"/>
          <w:highlight w:val="none"/>
        </w:rPr>
        <w:t xml:space="preserve">承包单位须对有关系统设备展开详尽的设计工作，包括编制所需的深化施工图以及设计计算、详尽的注释和说明等，并需满足有关规范要求。 </w:t>
      </w:r>
    </w:p>
    <w:p>
      <w:pPr>
        <w:spacing w:after="9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10.2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承包单位的深化设计和图纸送审 </w:t>
      </w:r>
    </w:p>
    <w:p>
      <w:pPr>
        <w:spacing w:after="92"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10.2.1 </w:t>
      </w:r>
      <w:r>
        <w:rPr>
          <w:rFonts w:hint="eastAsia" w:ascii="宋体" w:hAnsi="宋体" w:eastAsia="宋体" w:cs="宋体"/>
          <w:highlight w:val="none"/>
        </w:rPr>
        <w:tab/>
      </w:r>
      <w:r>
        <w:rPr>
          <w:rFonts w:hint="eastAsia" w:ascii="宋体" w:hAnsi="宋体" w:eastAsia="宋体" w:cs="宋体"/>
          <w:highlight w:val="none"/>
        </w:rPr>
        <w:t xml:space="preserve">概述 </w:t>
      </w:r>
    </w:p>
    <w:p>
      <w:pPr>
        <w:spacing w:after="86"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ind w:left="1348" w:right="0" w:firstLine="0"/>
        <w:rPr>
          <w:rFonts w:hint="eastAsia" w:ascii="宋体" w:hAnsi="宋体" w:eastAsia="宋体" w:cs="宋体"/>
          <w:highlight w:val="none"/>
        </w:rPr>
      </w:pPr>
      <w:r>
        <w:rPr>
          <w:rFonts w:hint="eastAsia" w:ascii="宋体" w:hAnsi="宋体" w:eastAsia="宋体" w:cs="宋体"/>
          <w:highlight w:val="none"/>
        </w:rPr>
        <w:t>在收到正式中标通知书之日起，承包单位须立即编制深化设计以及图纸编绘和送审的计划表，首版深化设计图纸需于一个月内提交建筑师/工程师审核。</w:t>
      </w:r>
    </w:p>
    <w:p>
      <w:pPr>
        <w:ind w:left="1348" w:right="0" w:firstLine="0"/>
        <w:rPr>
          <w:rFonts w:hint="eastAsia" w:ascii="宋体" w:hAnsi="宋体" w:eastAsia="宋体" w:cs="宋体"/>
          <w:highlight w:val="none"/>
        </w:rPr>
      </w:pPr>
      <w:r>
        <w:rPr>
          <w:rFonts w:hint="eastAsia" w:ascii="宋体" w:hAnsi="宋体" w:eastAsia="宋体" w:cs="宋体"/>
          <w:highlight w:val="none"/>
        </w:rPr>
        <w:t xml:space="preserve">承包单位须在整个工程的每个阶段按工作进度呈交有关的资料作审核。同时确保所有呈交的资料包括一切计算数据、建议方案、所需的文件及资料等均能按时按序及按规格要求送审以便获得批核施工。由于批核上述送审材料件需时间，承包单位须预留足够时间供批核及作修改重审。如承包单位未能按照所定计划和工程进度提交所需的资料而导致工期拖延，一切损失及责任须由承包单位负责。 </w:t>
      </w:r>
    </w:p>
    <w:p>
      <w:pPr>
        <w:spacing w:after="0" w:line="259" w:lineRule="auto"/>
        <w:ind w:left="1350"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10.2.2 </w:t>
      </w:r>
      <w:r>
        <w:rPr>
          <w:rFonts w:hint="eastAsia" w:ascii="宋体" w:hAnsi="宋体" w:eastAsia="宋体" w:cs="宋体"/>
          <w:highlight w:val="none"/>
        </w:rPr>
        <w:tab/>
      </w:r>
      <w:r>
        <w:rPr>
          <w:rFonts w:hint="eastAsia" w:ascii="宋体" w:hAnsi="宋体" w:eastAsia="宋体" w:cs="宋体"/>
          <w:highlight w:val="none"/>
        </w:rPr>
        <w:t xml:space="preserve">标准的遵从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承包单位必须呈交与本合同范围有关的资料包括所有材料、装置和设备的完整资料如产品技术资料说明书、装配指引、详图和证明文件等供审核。若有关设备或材料注明须符合中国国家有关规范或标准，或其它认可组织/机构如国际标准、英国标准（BS）、美国国家标准协会（ANSI）、美国保险商研究所（UL）、国际电气技术委员会（IEC）、欧盟（EN）和英国工程技术学会（IET）等所制定的标准时，在呈审时须同时附上有关符合该标准的证明文件作存案。而有关证明文件及试验报告，必须由一认可的检定机构签发，其内容须详细列明有关测试文件，证明经审定符合所需的标准要求。有关数据和资料均须采用公制（S.I.）单位。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0" w:right="0"/>
        <w:rPr>
          <w:rFonts w:hint="eastAsia" w:ascii="宋体" w:hAnsi="宋体" w:eastAsia="宋体" w:cs="宋体"/>
          <w:highlight w:val="none"/>
        </w:rPr>
      </w:pPr>
      <w:r>
        <w:rPr>
          <w:rFonts w:hint="eastAsia" w:ascii="宋体" w:hAnsi="宋体" w:eastAsia="宋体" w:cs="宋体"/>
          <w:highlight w:val="none"/>
        </w:rPr>
        <w:t xml:space="preserve">10.2.3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深化设计和施工图纸 </w:t>
      </w:r>
    </w:p>
    <w:p>
      <w:pPr>
        <w:numPr>
          <w:ilvl w:val="0"/>
          <w:numId w:val="10"/>
        </w:numPr>
        <w:ind w:right="0" w:hanging="540"/>
        <w:rPr>
          <w:rFonts w:hint="eastAsia" w:ascii="宋体" w:hAnsi="宋体" w:eastAsia="宋体" w:cs="宋体"/>
          <w:highlight w:val="none"/>
        </w:rPr>
      </w:pPr>
      <w:r>
        <w:rPr>
          <w:rFonts w:hint="eastAsia" w:ascii="宋体" w:hAnsi="宋体" w:eastAsia="宋体" w:cs="宋体"/>
          <w:highlight w:val="none"/>
        </w:rPr>
        <w:t xml:space="preserve">承包单位必须按工程进度或按建筑师/工程师的要求呈交本承包合同范围有关系统的深化设计和施工图，供建筑师/工程师、设计院和有关部门审批。深化设计的单位需获得业主/工程师的认可的有关图纸内容须包括平面、立面和剖面图。除显示所有有关设备、管道、电气线路、控制装置和附属配件的布置安排外，还需显示各附件的位置、施工土建配合要求、与其它机电承包合同的分界面和一切施工所需的大样详图。深化施工图深度必须达到工程师审批的标准要求，送审图纸须向当地有关单位分别送审。深化施工阶段图纸的各专业人员必须常驻工地，直到工程师认为深化施工图纸送审工作已经完成。 </w:t>
      </w:r>
    </w:p>
    <w:p>
      <w:pPr>
        <w:numPr>
          <w:ilvl w:val="0"/>
          <w:numId w:val="10"/>
        </w:numPr>
        <w:spacing w:after="5" w:line="255" w:lineRule="auto"/>
        <w:ind w:right="0" w:hanging="540"/>
        <w:rPr>
          <w:rFonts w:hint="eastAsia" w:ascii="宋体" w:hAnsi="宋体" w:eastAsia="宋体" w:cs="宋体"/>
          <w:highlight w:val="none"/>
        </w:rPr>
      </w:pPr>
      <w:r>
        <w:rPr>
          <w:rFonts w:hint="eastAsia" w:ascii="宋体" w:hAnsi="宋体" w:eastAsia="宋体" w:cs="宋体"/>
          <w:highlight w:val="none"/>
        </w:rPr>
        <w:t>有关图纸经各审批单位初步批阅后，承包单位需综合有关意见加以修改，然后再安排送审，直至图纸获批准为止。图纸获批核后，再分送业主、设计单位、测量师、工地等单位作为施工记录和验收之用。同时，并需以电脑软件档案（不低于</w:t>
      </w:r>
      <w:r>
        <w:rPr>
          <w:rFonts w:hint="eastAsia" w:ascii="宋体" w:hAnsi="宋体" w:eastAsia="宋体" w:cs="宋体"/>
          <w:highlight w:val="none"/>
          <w:lang w:eastAsia="zh-CN"/>
        </w:rPr>
        <w:t>AutoCad 2012</w:t>
      </w:r>
      <w:r>
        <w:rPr>
          <w:rFonts w:hint="eastAsia" w:ascii="宋体" w:hAnsi="宋体" w:eastAsia="宋体" w:cs="宋体"/>
          <w:highlight w:val="none"/>
        </w:rPr>
        <w:t xml:space="preserve">）储放在光盘（CD ROM）上送交各单位。承送单位及图纸、光盘数量详见本部分“文件及图纸送审及提交”。 </w:t>
      </w:r>
    </w:p>
    <w:p>
      <w:pPr>
        <w:numPr>
          <w:ilvl w:val="0"/>
          <w:numId w:val="10"/>
        </w:numPr>
        <w:ind w:right="0" w:hanging="540"/>
        <w:rPr>
          <w:rFonts w:hint="eastAsia" w:ascii="宋体" w:hAnsi="宋体" w:eastAsia="宋体" w:cs="宋体"/>
          <w:highlight w:val="none"/>
        </w:rPr>
      </w:pPr>
      <w:r>
        <w:rPr>
          <w:rFonts w:hint="eastAsia" w:ascii="宋体" w:hAnsi="宋体" w:eastAsia="宋体" w:cs="宋体"/>
          <w:highlight w:val="none"/>
        </w:rPr>
        <w:t xml:space="preserve">深化施工图经批核后，承包单位须向负责绘制综合设施施工图的承包单位（本项目是机电承包单位）送上图纸及光盘各一份以作绘制综合设备施工图之用，并与该承包单位合作和协调设备管道的走向和标高，同时须在合理要求下配合并听从该承包单位的决定。 </w:t>
      </w:r>
    </w:p>
    <w:p>
      <w:pPr>
        <w:numPr>
          <w:ilvl w:val="0"/>
          <w:numId w:val="10"/>
        </w:numPr>
        <w:spacing w:after="5" w:line="255" w:lineRule="auto"/>
        <w:ind w:right="0" w:hanging="540"/>
        <w:rPr>
          <w:rFonts w:hint="eastAsia" w:ascii="宋体" w:hAnsi="宋体" w:eastAsia="宋体" w:cs="宋体"/>
          <w:highlight w:val="none"/>
        </w:rPr>
      </w:pPr>
      <w:r>
        <w:rPr>
          <w:rFonts w:hint="eastAsia" w:ascii="宋体" w:hAnsi="宋体" w:eastAsia="宋体" w:cs="宋体"/>
          <w:highlight w:val="none"/>
        </w:rPr>
        <w:t xml:space="preserve">在施工过程中，不论是否因协调需要、或接业主指令、或接工程师发出的洽商，承包单位必须每60 天对施工图作一总修改，并综合该段期间的所有修改，加以反映在新施工图上，然后以光盘及图纸向各单位送呈以作施工参照及纪录。 </w:t>
      </w:r>
    </w:p>
    <w:p>
      <w:pPr>
        <w:numPr>
          <w:ilvl w:val="0"/>
          <w:numId w:val="10"/>
        </w:numPr>
        <w:ind w:right="0" w:hanging="540"/>
        <w:rPr>
          <w:rFonts w:hint="eastAsia" w:ascii="宋体" w:hAnsi="宋体" w:eastAsia="宋体" w:cs="宋体"/>
          <w:highlight w:val="none"/>
        </w:rPr>
      </w:pPr>
      <w:r>
        <w:rPr>
          <w:rFonts w:hint="eastAsia" w:ascii="宋体" w:hAnsi="宋体" w:eastAsia="宋体" w:cs="宋体"/>
          <w:highlight w:val="none"/>
        </w:rPr>
        <w:t xml:space="preserve">如在上述期间内无任何修改，则以书面知会各单位可按上次送呈图纸作为依据。 </w:t>
      </w:r>
    </w:p>
    <w:p>
      <w:pPr>
        <w:numPr>
          <w:ilvl w:val="0"/>
          <w:numId w:val="10"/>
        </w:numPr>
        <w:ind w:right="0" w:hanging="540"/>
        <w:rPr>
          <w:rFonts w:hint="eastAsia" w:ascii="宋体" w:hAnsi="宋体" w:eastAsia="宋体" w:cs="宋体"/>
          <w:highlight w:val="none"/>
        </w:rPr>
      </w:pPr>
      <w:r>
        <w:rPr>
          <w:rFonts w:hint="eastAsia" w:ascii="宋体" w:hAnsi="宋体" w:eastAsia="宋体" w:cs="宋体"/>
          <w:highlight w:val="none"/>
        </w:rPr>
        <w:t>所有图纸均需有正式的图签并应标明本项目、本工程合同及有关图纸的名称、图号、最新修改号及修改内容、日期和图示比例。于呈交系统示意图的同时，亦应提供必要的辅助资料以描述各设备的功能和操作。有关图纸审批的精神，图纸送审一般只作原则性批核，须待有关</w:t>
      </w:r>
    </w:p>
    <w:p>
      <w:pPr>
        <w:ind w:left="1903" w:right="0"/>
        <w:rPr>
          <w:rFonts w:hint="eastAsia" w:ascii="宋体" w:hAnsi="宋体" w:eastAsia="宋体" w:cs="宋体"/>
          <w:highlight w:val="none"/>
        </w:rPr>
      </w:pPr>
      <w:r>
        <w:rPr>
          <w:rFonts w:hint="eastAsia" w:ascii="宋体" w:hAnsi="宋体" w:eastAsia="宋体" w:cs="宋体"/>
          <w:highlight w:val="none"/>
        </w:rPr>
        <w:t xml:space="preserve">图纸所示系统经过正式检测完满后，才作为最终批核。 </w:t>
      </w:r>
    </w:p>
    <w:p>
      <w:pPr>
        <w:spacing w:after="3" w:line="259" w:lineRule="auto"/>
        <w:ind w:left="189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10"/>
        </w:numPr>
        <w:ind w:right="0" w:hanging="540"/>
        <w:rPr>
          <w:rFonts w:hint="eastAsia" w:ascii="宋体" w:hAnsi="宋体" w:eastAsia="宋体" w:cs="宋体"/>
          <w:highlight w:val="none"/>
        </w:rPr>
      </w:pPr>
      <w:r>
        <w:rPr>
          <w:rFonts w:hint="eastAsia" w:ascii="宋体" w:hAnsi="宋体" w:eastAsia="宋体" w:cs="宋体"/>
          <w:highlight w:val="none"/>
        </w:rPr>
        <w:t xml:space="preserve">送审的图纸及光盘软件的规格及比例须按下列要求提交： </w:t>
      </w:r>
    </w:p>
    <w:p>
      <w:pPr>
        <w:numPr>
          <w:ilvl w:val="0"/>
          <w:numId w:val="11"/>
        </w:numPr>
        <w:spacing w:after="5" w:line="255" w:lineRule="auto"/>
        <w:ind w:right="45" w:hanging="482"/>
        <w:rPr>
          <w:rFonts w:hint="eastAsia" w:ascii="宋体" w:hAnsi="宋体" w:eastAsia="宋体" w:cs="宋体"/>
          <w:highlight w:val="none"/>
        </w:rPr>
      </w:pPr>
      <w:r>
        <w:rPr>
          <w:rFonts w:hint="eastAsia" w:ascii="宋体" w:hAnsi="宋体" w:eastAsia="宋体" w:cs="宋体"/>
          <w:highlight w:val="none"/>
        </w:rPr>
        <w:t>图纸                     图纸型号       比例</w:t>
      </w:r>
    </w:p>
    <w:p>
      <w:pPr>
        <w:spacing w:after="5" w:line="255" w:lineRule="auto"/>
        <w:ind w:left="2399" w:right="45" w:firstLine="0"/>
        <w:rPr>
          <w:rFonts w:hint="eastAsia" w:ascii="宋体" w:hAnsi="宋体" w:eastAsia="宋体" w:cs="宋体"/>
          <w:highlight w:val="none"/>
        </w:rPr>
      </w:pPr>
      <w:r>
        <w:rPr>
          <w:rFonts w:hint="eastAsia" w:ascii="宋体" w:hAnsi="宋体" w:eastAsia="宋体" w:cs="宋体"/>
          <w:highlight w:val="none"/>
        </w:rPr>
        <w:t xml:space="preserve">要求土建配合图              A0         1：100 </w:t>
      </w:r>
    </w:p>
    <w:p>
      <w:pPr>
        <w:spacing w:after="5" w:line="255" w:lineRule="auto"/>
        <w:ind w:left="2399" w:right="45" w:firstLine="0"/>
        <w:rPr>
          <w:rFonts w:hint="eastAsia" w:ascii="宋体" w:hAnsi="宋体" w:eastAsia="宋体" w:cs="宋体"/>
          <w:highlight w:val="none"/>
        </w:rPr>
      </w:pPr>
      <w:r>
        <w:rPr>
          <w:rFonts w:hint="eastAsia" w:ascii="宋体" w:hAnsi="宋体" w:eastAsia="宋体" w:cs="宋体"/>
          <w:highlight w:val="none"/>
        </w:rPr>
        <w:t xml:space="preserve">平面布置图                  A0         1：100 </w:t>
      </w:r>
    </w:p>
    <w:p>
      <w:pPr>
        <w:spacing w:after="5" w:line="255" w:lineRule="auto"/>
        <w:ind w:left="2399" w:right="45" w:firstLine="0"/>
        <w:rPr>
          <w:rFonts w:hint="eastAsia" w:ascii="宋体" w:hAnsi="宋体" w:eastAsia="宋体" w:cs="宋体"/>
          <w:highlight w:val="none"/>
        </w:rPr>
      </w:pPr>
      <w:r>
        <w:rPr>
          <w:rFonts w:hint="eastAsia" w:ascii="宋体" w:hAnsi="宋体" w:eastAsia="宋体" w:cs="宋体"/>
          <w:highlight w:val="none"/>
        </w:rPr>
        <w:t xml:space="preserve">机房大样图 </w:t>
      </w:r>
    </w:p>
    <w:p>
      <w:pPr>
        <w:ind w:left="2409" w:right="0"/>
        <w:rPr>
          <w:rFonts w:hint="eastAsia" w:ascii="宋体" w:hAnsi="宋体" w:eastAsia="宋体" w:cs="宋体"/>
          <w:highlight w:val="none"/>
        </w:rPr>
      </w:pPr>
      <w:r>
        <w:rPr>
          <w:rFonts w:hint="eastAsia" w:ascii="宋体" w:hAnsi="宋体" w:eastAsia="宋体" w:cs="宋体"/>
          <w:highlight w:val="none"/>
        </w:rPr>
        <w:t xml:space="preserve">（平面及剖面） </w:t>
      </w:r>
      <w:r>
        <w:rPr>
          <w:rFonts w:hint="eastAsia" w:ascii="宋体" w:hAnsi="宋体" w:eastAsia="宋体" w:cs="宋体"/>
          <w:highlight w:val="none"/>
        </w:rPr>
        <w:tab/>
      </w:r>
      <w:r>
        <w:rPr>
          <w:rFonts w:hint="eastAsia" w:ascii="宋体" w:hAnsi="宋体" w:eastAsia="宋体" w:cs="宋体"/>
          <w:highlight w:val="none"/>
        </w:rPr>
        <w:t xml:space="preserve">             A1    </w:t>
      </w:r>
      <w:r>
        <w:rPr>
          <w:rFonts w:hint="eastAsia" w:ascii="宋体" w:hAnsi="宋体" w:eastAsia="宋体" w:cs="宋体"/>
          <w:highlight w:val="none"/>
        </w:rPr>
        <w:tab/>
      </w:r>
      <w:r>
        <w:rPr>
          <w:rFonts w:hint="eastAsia" w:ascii="宋体" w:hAnsi="宋体" w:eastAsia="宋体" w:cs="宋体"/>
          <w:highlight w:val="none"/>
        </w:rPr>
        <w:t xml:space="preserve">1：20 – 1:50 </w:t>
      </w:r>
    </w:p>
    <w:p>
      <w:pPr>
        <w:ind w:left="2409" w:right="0"/>
        <w:rPr>
          <w:rFonts w:hint="eastAsia" w:ascii="宋体" w:hAnsi="宋体" w:eastAsia="宋体" w:cs="宋体"/>
          <w:highlight w:val="none"/>
        </w:rPr>
      </w:pPr>
      <w:r>
        <w:rPr>
          <w:rFonts w:hint="eastAsia" w:ascii="宋体" w:hAnsi="宋体" w:eastAsia="宋体" w:cs="宋体"/>
          <w:highlight w:val="none"/>
        </w:rPr>
        <w:t xml:space="preserve">系统流程及示意图 </w:t>
      </w:r>
      <w:r>
        <w:rPr>
          <w:rFonts w:hint="eastAsia" w:ascii="宋体" w:hAnsi="宋体" w:eastAsia="宋体" w:cs="宋体"/>
          <w:highlight w:val="none"/>
        </w:rPr>
        <w:tab/>
      </w:r>
      <w:r>
        <w:rPr>
          <w:rFonts w:hint="eastAsia" w:ascii="宋体" w:hAnsi="宋体" w:eastAsia="宋体" w:cs="宋体"/>
          <w:highlight w:val="none"/>
        </w:rPr>
        <w:t xml:space="preserve">         A1 </w:t>
      </w:r>
      <w:r>
        <w:rPr>
          <w:rFonts w:hint="eastAsia" w:ascii="宋体" w:hAnsi="宋体" w:eastAsia="宋体" w:cs="宋体"/>
          <w:highlight w:val="none"/>
        </w:rPr>
        <w:tab/>
      </w:r>
      <w:r>
        <w:rPr>
          <w:rFonts w:hint="eastAsia" w:ascii="宋体" w:hAnsi="宋体" w:eastAsia="宋体" w:cs="宋体"/>
          <w:highlight w:val="none"/>
        </w:rPr>
        <w:t xml:space="preserve">        无 </w:t>
      </w:r>
    </w:p>
    <w:p>
      <w:pPr>
        <w:spacing w:after="3" w:line="256" w:lineRule="auto"/>
        <w:ind w:left="2409" w:right="660"/>
        <w:rPr>
          <w:rFonts w:hint="eastAsia" w:ascii="宋体" w:hAnsi="宋体" w:eastAsia="宋体" w:cs="宋体"/>
          <w:highlight w:val="none"/>
        </w:rPr>
      </w:pPr>
      <w:r>
        <w:rPr>
          <w:rFonts w:hint="eastAsia" w:ascii="宋体" w:hAnsi="宋体" w:eastAsia="宋体" w:cs="宋体"/>
          <w:highlight w:val="none"/>
        </w:rPr>
        <w:t xml:space="preserve">装置大样图 </w:t>
      </w:r>
      <w:r>
        <w:rPr>
          <w:rFonts w:hint="eastAsia" w:ascii="宋体" w:hAnsi="宋体" w:eastAsia="宋体" w:cs="宋体"/>
          <w:highlight w:val="none"/>
        </w:rPr>
        <w:tab/>
      </w:r>
      <w:r>
        <w:rPr>
          <w:rFonts w:hint="eastAsia" w:ascii="宋体" w:hAnsi="宋体" w:eastAsia="宋体" w:cs="宋体"/>
          <w:highlight w:val="none"/>
        </w:rPr>
        <w:t xml:space="preserve">                A1    </w:t>
      </w:r>
      <w:r>
        <w:rPr>
          <w:rFonts w:hint="eastAsia" w:ascii="宋体" w:hAnsi="宋体" w:eastAsia="宋体" w:cs="宋体"/>
          <w:highlight w:val="none"/>
        </w:rPr>
        <w:tab/>
      </w:r>
      <w:r>
        <w:rPr>
          <w:rFonts w:hint="eastAsia" w:ascii="宋体" w:hAnsi="宋体" w:eastAsia="宋体" w:cs="宋体"/>
          <w:highlight w:val="none"/>
        </w:rPr>
        <w:t xml:space="preserve">1：10 – 1:50 </w:t>
      </w:r>
    </w:p>
    <w:p>
      <w:pPr>
        <w:spacing w:after="3" w:line="256" w:lineRule="auto"/>
        <w:ind w:left="2409" w:right="660"/>
        <w:rPr>
          <w:rFonts w:hint="eastAsia" w:ascii="宋体" w:hAnsi="宋体" w:eastAsia="宋体" w:cs="宋体"/>
          <w:highlight w:val="none"/>
        </w:rPr>
      </w:pPr>
      <w:r>
        <w:rPr>
          <w:rFonts w:hint="eastAsia" w:ascii="宋体" w:hAnsi="宋体" w:eastAsia="宋体" w:cs="宋体"/>
          <w:highlight w:val="none"/>
        </w:rPr>
        <w:t xml:space="preserve">综合管线图                 A0 </w:t>
      </w:r>
      <w:r>
        <w:rPr>
          <w:rFonts w:hint="eastAsia" w:ascii="宋体" w:hAnsi="宋体" w:eastAsia="宋体" w:cs="宋体"/>
          <w:highlight w:val="none"/>
        </w:rPr>
        <w:tab/>
      </w:r>
      <w:r>
        <w:rPr>
          <w:rFonts w:hint="eastAsia" w:ascii="宋体" w:hAnsi="宋体" w:eastAsia="宋体" w:cs="宋体"/>
          <w:highlight w:val="none"/>
        </w:rPr>
        <w:t xml:space="preserve">      1：50 </w:t>
      </w:r>
    </w:p>
    <w:p>
      <w:pPr>
        <w:spacing w:after="3" w:line="256" w:lineRule="auto"/>
        <w:ind w:left="2409" w:right="660"/>
        <w:rPr>
          <w:rFonts w:hint="eastAsia" w:ascii="宋体" w:hAnsi="宋体" w:eastAsia="宋体" w:cs="宋体"/>
          <w:highlight w:val="none"/>
        </w:rPr>
      </w:pPr>
      <w:r>
        <w:rPr>
          <w:rFonts w:hint="eastAsia" w:ascii="宋体" w:hAnsi="宋体" w:eastAsia="宋体" w:cs="宋体"/>
          <w:highlight w:val="none"/>
        </w:rPr>
        <w:t xml:space="preserve">土建留洞图                 A0 </w:t>
      </w:r>
      <w:r>
        <w:rPr>
          <w:rFonts w:hint="eastAsia" w:ascii="宋体" w:hAnsi="宋体" w:eastAsia="宋体" w:cs="宋体"/>
          <w:highlight w:val="none"/>
        </w:rPr>
        <w:tab/>
      </w:r>
      <w:r>
        <w:rPr>
          <w:rFonts w:hint="eastAsia" w:ascii="宋体" w:hAnsi="宋体" w:eastAsia="宋体" w:cs="宋体"/>
          <w:highlight w:val="none"/>
        </w:rPr>
        <w:t xml:space="preserve">      1：50 </w:t>
      </w:r>
    </w:p>
    <w:p>
      <w:pPr>
        <w:numPr>
          <w:ilvl w:val="0"/>
          <w:numId w:val="11"/>
        </w:numPr>
        <w:ind w:right="3868" w:hanging="482"/>
        <w:rPr>
          <w:rFonts w:hint="eastAsia" w:ascii="宋体" w:hAnsi="宋体" w:eastAsia="宋体" w:cs="宋体"/>
          <w:highlight w:val="none"/>
        </w:rPr>
      </w:pPr>
      <w:r>
        <w:rPr>
          <w:rFonts w:hint="eastAsia" w:ascii="宋体" w:hAnsi="宋体" w:eastAsia="宋体" w:cs="宋体"/>
          <w:highlight w:val="none"/>
        </w:rPr>
        <w:t xml:space="preserve">图纸编码 </w:t>
      </w:r>
    </w:p>
    <w:p>
      <w:pPr>
        <w:numPr>
          <w:ilvl w:val="0"/>
          <w:numId w:val="11"/>
        </w:numPr>
        <w:ind w:right="3868" w:hanging="482"/>
        <w:rPr>
          <w:rFonts w:hint="eastAsia" w:ascii="宋体" w:hAnsi="宋体" w:eastAsia="宋体" w:cs="宋体"/>
          <w:highlight w:val="none"/>
        </w:rPr>
      </w:pPr>
      <w:r>
        <w:rPr>
          <w:rFonts w:hint="eastAsia" w:ascii="宋体" w:hAnsi="宋体" w:eastAsia="宋体" w:cs="宋体"/>
          <w:highlight w:val="none"/>
        </w:rPr>
        <w:t xml:space="preserve">光盘软件 </w:t>
      </w:r>
    </w:p>
    <w:p>
      <w:pPr>
        <w:ind w:left="1903" w:right="0"/>
        <w:rPr>
          <w:rFonts w:hint="eastAsia" w:ascii="宋体" w:hAnsi="宋体" w:eastAsia="宋体" w:cs="宋体"/>
          <w:highlight w:val="none"/>
        </w:rPr>
      </w:pPr>
      <w:r>
        <w:rPr>
          <w:rFonts w:hint="eastAsia" w:ascii="宋体" w:hAnsi="宋体" w:eastAsia="宋体" w:cs="宋体"/>
          <w:highlight w:val="none"/>
        </w:rPr>
        <w:t>绘图软件不低于</w:t>
      </w:r>
      <w:r>
        <w:rPr>
          <w:rFonts w:hint="eastAsia" w:ascii="宋体" w:hAnsi="宋体" w:eastAsia="宋体" w:cs="宋体"/>
          <w:highlight w:val="none"/>
          <w:lang w:eastAsia="zh-CN"/>
        </w:rPr>
        <w:t>AutoCad 2012</w:t>
      </w:r>
      <w:r>
        <w:rPr>
          <w:rFonts w:hint="eastAsia" w:ascii="宋体" w:hAnsi="宋体" w:eastAsia="宋体" w:cs="宋体"/>
          <w:highlight w:val="none"/>
        </w:rPr>
        <w:t xml:space="preserve"> (或按建筑师/工程师要求) </w:t>
      </w:r>
    </w:p>
    <w:p>
      <w:pPr>
        <w:ind w:left="1903" w:right="0"/>
        <w:rPr>
          <w:rFonts w:hint="eastAsia" w:ascii="宋体" w:hAnsi="宋体" w:eastAsia="宋体" w:cs="宋体"/>
          <w:highlight w:val="none"/>
        </w:rPr>
      </w:pPr>
      <w:r>
        <w:rPr>
          <w:rFonts w:hint="eastAsia" w:ascii="宋体" w:hAnsi="宋体" w:eastAsia="宋体" w:cs="宋体"/>
          <w:highlight w:val="none"/>
        </w:rPr>
        <w:t xml:space="preserve">综合管线图，土建留洞图中不同专业管线及留洞应用不同颜色表示。 </w:t>
      </w:r>
    </w:p>
    <w:p>
      <w:pPr>
        <w:ind w:left="1903" w:right="0"/>
        <w:rPr>
          <w:rFonts w:hint="eastAsia" w:ascii="宋体" w:hAnsi="宋体" w:eastAsia="宋体" w:cs="宋体"/>
          <w:highlight w:val="none"/>
        </w:rPr>
      </w:pPr>
      <w:r>
        <w:rPr>
          <w:rFonts w:hint="eastAsia" w:ascii="宋体" w:hAnsi="宋体" w:eastAsia="宋体" w:cs="宋体"/>
          <w:highlight w:val="none"/>
        </w:rPr>
        <w:t xml:space="preserve">注：所有平面及剖面等电子文件皆须带有外部引用图纸及档案编码。 </w:t>
      </w:r>
    </w:p>
    <w:p>
      <w:pPr>
        <w:numPr>
          <w:ilvl w:val="0"/>
          <w:numId w:val="12"/>
        </w:numPr>
        <w:spacing w:after="5" w:line="255" w:lineRule="auto"/>
        <w:ind w:right="0" w:hanging="540"/>
        <w:rPr>
          <w:rFonts w:hint="eastAsia" w:ascii="宋体" w:hAnsi="宋体" w:eastAsia="宋体" w:cs="宋体"/>
          <w:highlight w:val="none"/>
        </w:rPr>
      </w:pPr>
      <w:r>
        <w:rPr>
          <w:rFonts w:hint="eastAsia" w:ascii="宋体" w:hAnsi="宋体" w:eastAsia="宋体" w:cs="宋体"/>
          <w:highlight w:val="none"/>
        </w:rPr>
        <w:t xml:space="preserve">任何图纸的全部或某部份不获批准时，承包单位应按各审批单位的意见对图纸进行修改,修改后需重新送审，直至该图纸获得批准为止。批准后，本承包单位应按照本部分 “文件及图纸送审及提交”要求提交规定数量的批准图纸，分发各有关单位参照及记录之用。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除了上述施工安装图纸以外，所有有关拟选用的设备、装置、材料以及附件亦应提交审批，为了便于识别，每一项产品送审时，应最少包括以下资料： </w:t>
      </w:r>
    </w:p>
    <w:p>
      <w:pPr>
        <w:numPr>
          <w:ilvl w:val="3"/>
          <w:numId w:val="13"/>
        </w:numPr>
        <w:ind w:right="0" w:hanging="420"/>
        <w:rPr>
          <w:rFonts w:hint="eastAsia" w:ascii="宋体" w:hAnsi="宋体" w:eastAsia="宋体" w:cs="宋体"/>
          <w:highlight w:val="none"/>
        </w:rPr>
      </w:pPr>
      <w:r>
        <w:rPr>
          <w:rFonts w:hint="eastAsia" w:ascii="宋体" w:hAnsi="宋体" w:eastAsia="宋体" w:cs="宋体"/>
          <w:highlight w:val="none"/>
        </w:rPr>
        <w:t xml:space="preserve">承包合同的名称和编号 </w:t>
      </w:r>
    </w:p>
    <w:p>
      <w:pPr>
        <w:numPr>
          <w:ilvl w:val="3"/>
          <w:numId w:val="13"/>
        </w:numPr>
        <w:ind w:right="0" w:hanging="420"/>
        <w:rPr>
          <w:rFonts w:hint="eastAsia" w:ascii="宋体" w:hAnsi="宋体" w:eastAsia="宋体" w:cs="宋体"/>
          <w:highlight w:val="none"/>
        </w:rPr>
      </w:pPr>
      <w:r>
        <w:rPr>
          <w:rFonts w:hint="eastAsia" w:ascii="宋体" w:hAnsi="宋体" w:eastAsia="宋体" w:cs="宋体"/>
          <w:highlight w:val="none"/>
        </w:rPr>
        <w:t xml:space="preserve">承包单位的名字 </w:t>
      </w:r>
    </w:p>
    <w:p>
      <w:pPr>
        <w:numPr>
          <w:ilvl w:val="3"/>
          <w:numId w:val="13"/>
        </w:numPr>
        <w:ind w:right="0" w:hanging="420"/>
        <w:rPr>
          <w:rFonts w:hint="eastAsia" w:ascii="宋体" w:hAnsi="宋体" w:eastAsia="宋体" w:cs="宋体"/>
          <w:highlight w:val="none"/>
        </w:rPr>
      </w:pPr>
      <w:r>
        <w:rPr>
          <w:rFonts w:hint="eastAsia" w:ascii="宋体" w:hAnsi="宋体" w:eastAsia="宋体" w:cs="宋体"/>
          <w:highlight w:val="none"/>
        </w:rPr>
        <w:t xml:space="preserve">图纸及/或技术规格说明书内有关章节的对照依据 </w:t>
      </w:r>
    </w:p>
    <w:p>
      <w:pPr>
        <w:numPr>
          <w:ilvl w:val="3"/>
          <w:numId w:val="13"/>
        </w:numPr>
        <w:ind w:right="0" w:hanging="420"/>
        <w:rPr>
          <w:rFonts w:hint="eastAsia" w:ascii="宋体" w:hAnsi="宋体" w:eastAsia="宋体" w:cs="宋体"/>
          <w:highlight w:val="none"/>
        </w:rPr>
      </w:pPr>
      <w:r>
        <w:rPr>
          <w:rFonts w:hint="eastAsia" w:ascii="宋体" w:hAnsi="宋体" w:eastAsia="宋体" w:cs="宋体"/>
          <w:highlight w:val="none"/>
        </w:rPr>
        <w:t xml:space="preserve">送审件的说明和清单 </w:t>
      </w:r>
    </w:p>
    <w:p>
      <w:pPr>
        <w:ind w:left="1903" w:right="0"/>
        <w:rPr>
          <w:rFonts w:hint="eastAsia" w:ascii="宋体" w:hAnsi="宋体" w:eastAsia="宋体" w:cs="宋体"/>
          <w:highlight w:val="none"/>
        </w:rPr>
      </w:pPr>
      <w:r>
        <w:rPr>
          <w:rFonts w:hint="eastAsia" w:ascii="宋体" w:hAnsi="宋体" w:eastAsia="宋体" w:cs="宋体"/>
          <w:highlight w:val="none"/>
        </w:rPr>
        <w:t xml:space="preserve">为了简化和便于处理，同类型的设备、装置、材料应同时送审。而每个送审件只能包括一种型号的产品或设备。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每一项设计或图纸送审时，内容应包括： </w:t>
      </w:r>
    </w:p>
    <w:p>
      <w:pPr>
        <w:numPr>
          <w:ilvl w:val="3"/>
          <w:numId w:val="14"/>
        </w:numPr>
        <w:ind w:left="2432" w:right="0" w:hanging="458"/>
        <w:rPr>
          <w:rFonts w:hint="eastAsia" w:ascii="宋体" w:hAnsi="宋体" w:eastAsia="宋体" w:cs="宋体"/>
          <w:highlight w:val="none"/>
        </w:rPr>
      </w:pPr>
      <w:r>
        <w:rPr>
          <w:rFonts w:hint="eastAsia" w:ascii="宋体" w:hAnsi="宋体" w:eastAsia="宋体" w:cs="宋体"/>
          <w:highlight w:val="none"/>
        </w:rPr>
        <w:t xml:space="preserve">图号和最新之修正编号 </w:t>
      </w:r>
    </w:p>
    <w:p>
      <w:pPr>
        <w:numPr>
          <w:ilvl w:val="3"/>
          <w:numId w:val="14"/>
        </w:numPr>
        <w:ind w:left="2432" w:right="0" w:hanging="458"/>
        <w:rPr>
          <w:rFonts w:hint="eastAsia" w:ascii="宋体" w:hAnsi="宋体" w:eastAsia="宋体" w:cs="宋体"/>
          <w:highlight w:val="none"/>
        </w:rPr>
      </w:pPr>
      <w:r>
        <w:rPr>
          <w:rFonts w:hint="eastAsia" w:ascii="宋体" w:hAnsi="宋体" w:eastAsia="宋体" w:cs="宋体"/>
          <w:highlight w:val="none"/>
        </w:rPr>
        <w:t xml:space="preserve">图纸名称 </w:t>
      </w:r>
    </w:p>
    <w:p>
      <w:pPr>
        <w:numPr>
          <w:ilvl w:val="3"/>
          <w:numId w:val="14"/>
        </w:numPr>
        <w:ind w:left="2432" w:right="0" w:hanging="458"/>
        <w:rPr>
          <w:rFonts w:hint="eastAsia" w:ascii="宋体" w:hAnsi="宋体" w:eastAsia="宋体" w:cs="宋体"/>
          <w:highlight w:val="none"/>
        </w:rPr>
      </w:pPr>
      <w:r>
        <w:rPr>
          <w:rFonts w:hint="eastAsia" w:ascii="宋体" w:hAnsi="宋体" w:eastAsia="宋体" w:cs="宋体"/>
          <w:highlight w:val="none"/>
        </w:rPr>
        <w:t xml:space="preserve">送审日期 </w:t>
      </w:r>
    </w:p>
    <w:p>
      <w:pPr>
        <w:numPr>
          <w:ilvl w:val="3"/>
          <w:numId w:val="14"/>
        </w:numPr>
        <w:ind w:left="2432" w:right="0" w:hanging="458"/>
        <w:rPr>
          <w:rFonts w:hint="eastAsia" w:ascii="宋体" w:hAnsi="宋体" w:eastAsia="宋体" w:cs="宋体"/>
          <w:highlight w:val="none"/>
        </w:rPr>
      </w:pPr>
      <w:r>
        <w:rPr>
          <w:rFonts w:hint="eastAsia" w:ascii="宋体" w:hAnsi="宋体" w:eastAsia="宋体" w:cs="宋体"/>
          <w:highlight w:val="none"/>
        </w:rPr>
        <w:t xml:space="preserve">修正编号及在修改部份加上记号 </w:t>
      </w:r>
    </w:p>
    <w:p>
      <w:pPr>
        <w:numPr>
          <w:ilvl w:val="3"/>
          <w:numId w:val="14"/>
        </w:numPr>
        <w:ind w:left="2432" w:right="0" w:hanging="458"/>
        <w:rPr>
          <w:rFonts w:hint="eastAsia" w:ascii="宋体" w:hAnsi="宋体" w:eastAsia="宋体" w:cs="宋体"/>
          <w:highlight w:val="none"/>
        </w:rPr>
      </w:pPr>
      <w:r>
        <w:rPr>
          <w:rFonts w:hint="eastAsia" w:ascii="宋体" w:hAnsi="宋体" w:eastAsia="宋体" w:cs="宋体"/>
          <w:highlight w:val="none"/>
        </w:rPr>
        <w:t xml:space="preserve">有关最后修正的简要说明。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承包单位的设计、图纸、装置或设置经批核后并不表示可解除或减轻承包单位对本合同应履行的任何责任和义务。承包单位仍须保证在本合同范围内所包括的一切工作均达到所需的要求。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承包单位的设计和图纸送审应展示但不限于下列的基本要求及在本技术规格说明书内的其它章节中提出的一些特殊的要求：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有关拟建议选用的主要装置和设备、选用该些设备的原因及证明、功率、尺寸、性能表现、表面处理、维修保养和进行换件、安装方法等。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各装置的联接装配示意图，以及与其它机电系统设备之间的配合要求。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所有要求土建配合的资料，包括墙体及楼板预留孔洞、套管、预埋管道、镶嵌槽坑、设备基座等的位置和尺寸、设备荷载及运行负荷等。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主要设备的运送路线及有关土建配合要求。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主要设备的电荷要求。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敷设电缆的要求。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固定于建筑结构上的设备及装置安装大样。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所有供维修及保养的检查口/门的位置和尺寸。 </w:t>
      </w:r>
    </w:p>
    <w:p>
      <w:pPr>
        <w:numPr>
          <w:ilvl w:val="5"/>
          <w:numId w:val="15"/>
        </w:numPr>
        <w:ind w:right="0" w:hanging="420"/>
        <w:rPr>
          <w:rFonts w:hint="eastAsia" w:ascii="宋体" w:hAnsi="宋体" w:eastAsia="宋体" w:cs="宋体"/>
          <w:highlight w:val="none"/>
        </w:rPr>
      </w:pPr>
      <w:r>
        <w:rPr>
          <w:rFonts w:hint="eastAsia" w:ascii="宋体" w:hAnsi="宋体" w:eastAsia="宋体" w:cs="宋体"/>
          <w:highlight w:val="none"/>
        </w:rPr>
        <w:t xml:space="preserve">有关敷设在钢筋混凝土楼板内的预埋电线管。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有关各类图纸送审及经批核后所需提交的图纸数量，均应按本部分</w:t>
      </w:r>
    </w:p>
    <w:p>
      <w:pPr>
        <w:ind w:left="1903" w:right="0"/>
        <w:rPr>
          <w:rFonts w:hint="eastAsia" w:ascii="宋体" w:hAnsi="宋体" w:eastAsia="宋体" w:cs="宋体"/>
          <w:highlight w:val="none"/>
        </w:rPr>
      </w:pPr>
      <w:r>
        <w:rPr>
          <w:rFonts w:hint="eastAsia" w:ascii="宋体" w:hAnsi="宋体" w:eastAsia="宋体" w:cs="宋体"/>
          <w:highlight w:val="none"/>
        </w:rPr>
        <w:t xml:space="preserve">“文件及图纸送审及提交”所规定的要求提供。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承包单位必须给予建筑师及其它审批单位足够时间以审查图纸，因此承包单位须确保图纸能配合工程进度准时呈交，一般所需的审批时间如下： </w:t>
      </w:r>
    </w:p>
    <w:p>
      <w:pPr>
        <w:spacing w:after="5" w:line="255" w:lineRule="auto"/>
        <w:ind w:left="1893" w:right="1321" w:firstLine="0"/>
        <w:jc w:val="both"/>
        <w:rPr>
          <w:rFonts w:hint="eastAsia" w:ascii="宋体" w:hAnsi="宋体" w:eastAsia="宋体" w:cs="宋体"/>
          <w:highlight w:val="none"/>
        </w:rPr>
      </w:pPr>
      <w:r>
        <w:rPr>
          <w:rFonts w:hint="eastAsia" w:ascii="宋体" w:hAnsi="宋体" w:eastAsia="宋体" w:cs="宋体"/>
          <w:highlight w:val="none"/>
        </w:rPr>
        <w:t>初次呈交予建筑师或其它审批单位审阅          二星期</w:t>
      </w:r>
    </w:p>
    <w:p>
      <w:pPr>
        <w:spacing w:after="5" w:line="255" w:lineRule="auto"/>
        <w:ind w:left="1893" w:right="1321" w:firstLine="0"/>
        <w:jc w:val="both"/>
        <w:rPr>
          <w:rFonts w:hint="eastAsia" w:ascii="宋体" w:hAnsi="宋体" w:eastAsia="宋体" w:cs="宋体"/>
          <w:highlight w:val="none"/>
        </w:rPr>
      </w:pPr>
      <w:r>
        <w:rPr>
          <w:rFonts w:hint="eastAsia" w:ascii="宋体" w:hAnsi="宋体" w:eastAsia="宋体" w:cs="宋体"/>
          <w:highlight w:val="none"/>
        </w:rPr>
        <w:t>继后再呈交予建筑师或其它审批单位重审       一星期</w:t>
      </w:r>
    </w:p>
    <w:p>
      <w:pPr>
        <w:spacing w:after="5" w:line="255" w:lineRule="auto"/>
        <w:ind w:left="1893" w:right="1463" w:firstLine="0"/>
        <w:jc w:val="both"/>
        <w:rPr>
          <w:rFonts w:hint="eastAsia" w:ascii="宋体" w:hAnsi="宋体" w:eastAsia="宋体" w:cs="宋体"/>
          <w:highlight w:val="none"/>
        </w:rPr>
      </w:pPr>
      <w:r>
        <w:rPr>
          <w:rFonts w:hint="eastAsia" w:ascii="宋体" w:hAnsi="宋体" w:eastAsia="宋体" w:cs="宋体"/>
          <w:highlight w:val="none"/>
        </w:rPr>
        <w:t xml:space="preserve">呈交予建筑师作正式批准                     一星期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为避免与其它专业的安装发生矛盾或为使有关的工作正确地进行，本承包单位须按建筑师或负责绘制机电综合施工图的单位所发的指示对有关安排作适当的调整而不能额外收取任何费用。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承包单位须按批准图纸施工并需检查及复核其它专业的施工图以核实安装所需的空间。 </w:t>
      </w:r>
    </w:p>
    <w:p>
      <w:pPr>
        <w:numPr>
          <w:ilvl w:val="0"/>
          <w:numId w:val="12"/>
        </w:numPr>
        <w:ind w:right="0" w:hanging="540"/>
        <w:rPr>
          <w:rFonts w:hint="eastAsia" w:ascii="宋体" w:hAnsi="宋体" w:eastAsia="宋体" w:cs="宋体"/>
          <w:highlight w:val="none"/>
        </w:rPr>
      </w:pPr>
      <w:r>
        <w:rPr>
          <w:rFonts w:hint="eastAsia" w:ascii="宋体" w:hAnsi="宋体" w:eastAsia="宋体" w:cs="宋体"/>
          <w:highlight w:val="none"/>
        </w:rPr>
        <w:t xml:space="preserve">无论在任何情况和位置，机电安装均须保持最大的使用空间和净空高度，一旦发觉有关净空高度或空间不足够时，须在施工前通知建筑师/ 工程师。 </w:t>
      </w:r>
    </w:p>
    <w:p>
      <w:pPr>
        <w:spacing w:after="1"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10.3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竣工图纸 </w:t>
      </w:r>
    </w:p>
    <w:p>
      <w:pPr>
        <w:spacing w:after="3" w:line="259" w:lineRule="auto"/>
        <w:ind w:left="99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16"/>
        </w:numPr>
        <w:ind w:right="0" w:hanging="1078"/>
        <w:rPr>
          <w:rFonts w:hint="eastAsia" w:ascii="宋体" w:hAnsi="宋体" w:eastAsia="宋体" w:cs="宋体"/>
          <w:highlight w:val="none"/>
        </w:rPr>
      </w:pPr>
      <w:r>
        <w:rPr>
          <w:rFonts w:hint="eastAsia" w:ascii="宋体" w:hAnsi="宋体" w:eastAsia="宋体" w:cs="宋体"/>
          <w:highlight w:val="none"/>
        </w:rPr>
        <w:t xml:space="preserve">所有竣工记录图纸必须于保修期开始六星期内呈交。承包单位应于施工期间按实际安装情况，逐步对有关施工图进行修改，最后将施工图作总体修正提交。所有图纸资料及编号均需详列于一份统一的图纸目录上，此目录将纳入操作和维修保养手册内。竣工图的深度必须达到当地标准要求。 </w:t>
      </w:r>
    </w:p>
    <w:p>
      <w:pPr>
        <w:spacing w:after="0"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16"/>
        </w:numPr>
        <w:ind w:right="0" w:hanging="1078"/>
        <w:rPr>
          <w:rFonts w:hint="eastAsia" w:ascii="宋体" w:hAnsi="宋体" w:eastAsia="宋体" w:cs="宋体"/>
          <w:highlight w:val="none"/>
        </w:rPr>
      </w:pPr>
      <w:r>
        <w:rPr>
          <w:rFonts w:hint="eastAsia" w:ascii="宋体" w:hAnsi="宋体" w:eastAsia="宋体" w:cs="宋体"/>
          <w:highlight w:val="none"/>
        </w:rPr>
        <w:t>竣工图需采用电脑绘制，并应符合国内有关制图标准。所有图例亦应严格遵照有关国内标准的规定。除获得建筑师/工程师同意外，所有图纸须采用 A0、</w:t>
      </w:r>
    </w:p>
    <w:p>
      <w:pPr>
        <w:spacing w:after="3" w:line="256" w:lineRule="auto"/>
        <w:ind w:left="1348" w:right="94"/>
        <w:rPr>
          <w:rFonts w:hint="eastAsia" w:ascii="宋体" w:hAnsi="宋体" w:eastAsia="宋体" w:cs="宋体"/>
          <w:highlight w:val="none"/>
        </w:rPr>
      </w:pPr>
      <w:r>
        <w:rPr>
          <w:rFonts w:hint="eastAsia" w:ascii="宋体" w:hAnsi="宋体" w:eastAsia="宋体" w:cs="宋体"/>
          <w:highlight w:val="none"/>
        </w:rPr>
        <w:t xml:space="preserve">A1、A2、A3 或 A4 的标准规格。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16"/>
        </w:numPr>
        <w:ind w:right="0" w:hanging="1078"/>
        <w:rPr>
          <w:rFonts w:hint="eastAsia" w:ascii="宋体" w:hAnsi="宋体" w:eastAsia="宋体" w:cs="宋体"/>
          <w:highlight w:val="none"/>
        </w:rPr>
      </w:pPr>
      <w:r>
        <w:rPr>
          <w:rFonts w:hint="eastAsia" w:ascii="宋体" w:hAnsi="宋体" w:eastAsia="宋体" w:cs="宋体"/>
          <w:highlight w:val="none"/>
        </w:rPr>
        <w:t xml:space="preserve">竣工图除展示出所有的设备和装置外，并应包括全部电缆/线管/管道等的敷设安排和全部继电器、接触器和其它开关装置的接点分析图表，及清楚说明每一主要设备接触器及其它部件的操作程序的图表。任何对设备和装置的运转、操作、保养或对日后系统的加改有用的一切资料，无论是否曾在施工图上表示过的，都应加以标注。控制器、装备或任何部件的有关参考号码或字母，以及设备和装置铭牌上列示的字母和号数等均应加以综合摘引。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16"/>
        </w:numPr>
        <w:ind w:right="0" w:hanging="1078"/>
        <w:rPr>
          <w:rFonts w:hint="eastAsia" w:ascii="宋体" w:hAnsi="宋体" w:eastAsia="宋体" w:cs="宋体"/>
          <w:highlight w:val="none"/>
        </w:rPr>
      </w:pPr>
      <w:r>
        <w:rPr>
          <w:rFonts w:hint="eastAsia" w:ascii="宋体" w:hAnsi="宋体" w:eastAsia="宋体" w:cs="宋体"/>
          <w:highlight w:val="none"/>
        </w:rPr>
        <w:t xml:space="preserve">所有系统示意竣工图及控制线路竣工图应个别用铝制框架装挂于相应机房墙壁上。框架的具体要求须提交建筑师/工程师作审核决定。 </w:t>
      </w:r>
    </w:p>
    <w:p>
      <w:pPr>
        <w:spacing w:after="66"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numPr>
          <w:ilvl w:val="2"/>
          <w:numId w:val="16"/>
        </w:numPr>
        <w:ind w:right="0" w:hanging="1078"/>
        <w:rPr>
          <w:rFonts w:hint="eastAsia" w:ascii="宋体" w:hAnsi="宋体" w:eastAsia="宋体" w:cs="宋体"/>
          <w:highlight w:val="none"/>
        </w:rPr>
      </w:pPr>
      <w:r>
        <w:rPr>
          <w:rFonts w:hint="eastAsia" w:ascii="宋体" w:hAnsi="宋体" w:eastAsia="宋体" w:cs="宋体"/>
          <w:highlight w:val="none"/>
        </w:rPr>
        <w:t>除上述各项外，承包单位并需提交全部竣工图纸的电脑软件档案并采用光盘</w:t>
      </w:r>
    </w:p>
    <w:p>
      <w:pPr>
        <w:ind w:left="1348" w:right="0"/>
        <w:rPr>
          <w:rFonts w:hint="eastAsia" w:ascii="宋体" w:hAnsi="宋体" w:eastAsia="宋体" w:cs="宋体"/>
          <w:highlight w:val="none"/>
        </w:rPr>
      </w:pPr>
      <w:r>
        <w:rPr>
          <w:rFonts w:hint="eastAsia" w:ascii="宋体" w:hAnsi="宋体" w:eastAsia="宋体" w:cs="宋体"/>
          <w:highlight w:val="none"/>
        </w:rPr>
        <w:t>（CD ROM）储放。呈送单位及图纸、光盘数量详见本部分“文件及图纸送</w:t>
      </w:r>
    </w:p>
    <w:p>
      <w:pPr>
        <w:ind w:left="1348" w:right="0"/>
        <w:rPr>
          <w:rFonts w:hint="eastAsia" w:ascii="宋体" w:hAnsi="宋体" w:eastAsia="宋体" w:cs="宋体"/>
          <w:highlight w:val="none"/>
        </w:rPr>
      </w:pPr>
      <w:r>
        <w:rPr>
          <w:rFonts w:hint="eastAsia" w:ascii="宋体" w:hAnsi="宋体" w:eastAsia="宋体" w:cs="宋体"/>
          <w:highlight w:val="none"/>
        </w:rPr>
        <w:t xml:space="preserve">审及提交”。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10.3.6 承包单位须注意如竣工图及操作与维修手册未按要求准时提交或未达批核水平时，有关于合约中扣下的款项将不会批付。有关要求已详述于本规格说明书内，承包单位须严格遵从。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2" w:name="_Toc29308"/>
      <w:r>
        <w:rPr>
          <w:rFonts w:hint="eastAsia" w:ascii="宋体" w:hAnsi="宋体" w:eastAsia="宋体" w:cs="宋体"/>
          <w:b/>
          <w:bCs/>
          <w:highlight w:val="none"/>
        </w:rPr>
        <w:t>设备及材料</w:t>
      </w:r>
      <w:bookmarkEnd w:id="12"/>
      <w:r>
        <w:rPr>
          <w:rFonts w:hint="eastAsia" w:ascii="宋体" w:hAnsi="宋体" w:eastAsia="宋体" w:cs="宋体"/>
          <w:b/>
          <w:bCs/>
          <w:highlight w:val="none"/>
        </w:rPr>
        <w:t xml:space="preserve"> </w:t>
      </w:r>
    </w:p>
    <w:p>
      <w:pPr>
        <w:spacing w:after="64"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质量保证 </w:t>
      </w:r>
    </w:p>
    <w:p>
      <w:pPr>
        <w:spacing w:after="63"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11.1.1 </w:t>
      </w:r>
      <w:r>
        <w:rPr>
          <w:rFonts w:hint="eastAsia" w:ascii="宋体" w:hAnsi="宋体" w:eastAsia="宋体" w:cs="宋体"/>
          <w:highlight w:val="none"/>
        </w:rPr>
        <w:tab/>
      </w:r>
      <w:r>
        <w:rPr>
          <w:rFonts w:hint="eastAsia" w:ascii="宋体" w:hAnsi="宋体" w:eastAsia="宋体" w:cs="宋体"/>
          <w:highlight w:val="none"/>
        </w:rPr>
        <w:t xml:space="preserve">资格证明 </w:t>
      </w:r>
    </w:p>
    <w:p>
      <w:pPr>
        <w:ind w:left="1348" w:right="0"/>
        <w:rPr>
          <w:rFonts w:hint="eastAsia" w:ascii="宋体" w:hAnsi="宋体" w:eastAsia="宋体" w:cs="宋体"/>
          <w:highlight w:val="none"/>
        </w:rPr>
      </w:pPr>
      <w:r>
        <w:rPr>
          <w:rFonts w:hint="eastAsia" w:ascii="宋体" w:hAnsi="宋体" w:eastAsia="宋体" w:cs="宋体"/>
          <w:highlight w:val="none"/>
        </w:rPr>
        <w:t xml:space="preserve">若合约中供应的设备装置及任何有关的安装条件或要求需要获得中国法定机构批准时，承包单位须负责申领所有有关的批准及许可证/牌照。所有用于申领批准的费用（例如测试费、手续费、牌照费等等）须包含在本合约中。如不能获得有关批准时，承包单位不能因此要求延长时间或附加费用。除获特别批准外，承包单位在本合同中所提供的所有材料和设备，其设计须为认可的，并须由具有5 年或以上生产同类型产品经验的制造商提供。承包单位须提交有关制造商的资质证明文件。 </w:t>
      </w:r>
    </w:p>
    <w:p>
      <w:pPr>
        <w:spacing w:after="65"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11.1.2 </w:t>
      </w:r>
      <w:r>
        <w:rPr>
          <w:rFonts w:hint="eastAsia" w:ascii="宋体" w:hAnsi="宋体" w:eastAsia="宋体" w:cs="宋体"/>
          <w:highlight w:val="none"/>
        </w:rPr>
        <w:tab/>
      </w:r>
      <w:r>
        <w:rPr>
          <w:rFonts w:hint="eastAsia" w:ascii="宋体" w:hAnsi="宋体" w:eastAsia="宋体" w:cs="宋体"/>
          <w:highlight w:val="none"/>
        </w:rPr>
        <w:t xml:space="preserve">所有设备及物料均不允许含有超过可接受程度的有害物质，工程必须满足当时环境保护的有关要求。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11.1.3 </w:t>
      </w:r>
      <w:r>
        <w:rPr>
          <w:rFonts w:hint="eastAsia" w:ascii="宋体" w:hAnsi="宋体" w:eastAsia="宋体" w:cs="宋体"/>
          <w:highlight w:val="none"/>
        </w:rPr>
        <w:tab/>
      </w:r>
      <w:r>
        <w:rPr>
          <w:rFonts w:hint="eastAsia" w:ascii="宋体" w:hAnsi="宋体" w:eastAsia="宋体" w:cs="宋体"/>
          <w:highlight w:val="none"/>
        </w:rPr>
        <w:t xml:space="preserve">承包单位须编制设备及材料送审计划表，并按业主/建筑师/工程师的要求提供产品样板。 </w:t>
      </w:r>
    </w:p>
    <w:p>
      <w:pPr>
        <w:spacing w:after="64"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11.1.4 </w:t>
      </w:r>
      <w:r>
        <w:rPr>
          <w:rFonts w:hint="eastAsia" w:ascii="宋体" w:hAnsi="宋体" w:eastAsia="宋体" w:cs="宋体"/>
          <w:highlight w:val="none"/>
        </w:rPr>
        <w:tab/>
      </w:r>
      <w:r>
        <w:rPr>
          <w:rFonts w:hint="eastAsia" w:ascii="宋体" w:hAnsi="宋体" w:eastAsia="宋体" w:cs="宋体"/>
          <w:highlight w:val="none"/>
        </w:rPr>
        <w:t xml:space="preserve">适用的规范、标准和当地条例 </w:t>
      </w:r>
    </w:p>
    <w:p>
      <w:pPr>
        <w:numPr>
          <w:ilvl w:val="0"/>
          <w:numId w:val="17"/>
        </w:numPr>
        <w:ind w:right="0" w:hanging="540"/>
        <w:rPr>
          <w:rFonts w:hint="eastAsia" w:ascii="宋体" w:hAnsi="宋体" w:eastAsia="宋体" w:cs="宋体"/>
          <w:highlight w:val="none"/>
        </w:rPr>
      </w:pPr>
      <w:r>
        <w:rPr>
          <w:rFonts w:hint="eastAsia" w:ascii="宋体" w:hAnsi="宋体" w:eastAsia="宋体" w:cs="宋体"/>
          <w:highlight w:val="none"/>
        </w:rPr>
        <w:t xml:space="preserve">本技术规格说明书内所列的有关规范和标准指于签订合同时所颁布的最新修订版本。 </w:t>
      </w:r>
    </w:p>
    <w:p>
      <w:pPr>
        <w:numPr>
          <w:ilvl w:val="0"/>
          <w:numId w:val="17"/>
        </w:numPr>
        <w:ind w:right="0" w:hanging="540"/>
        <w:rPr>
          <w:rFonts w:hint="eastAsia" w:ascii="宋体" w:hAnsi="宋体" w:eastAsia="宋体" w:cs="宋体"/>
          <w:highlight w:val="none"/>
        </w:rPr>
      </w:pPr>
      <w:r>
        <w:rPr>
          <w:rFonts w:hint="eastAsia" w:ascii="宋体" w:hAnsi="宋体" w:eastAsia="宋体" w:cs="宋体"/>
          <w:highlight w:val="none"/>
        </w:rPr>
        <w:t xml:space="preserve">若技术规格说明书内对某些要求未有列明标准，则有关的细节、材料、设备和工艺要求应遵照相关的国内或国际标准，取较高者为依据。 </w:t>
      </w:r>
    </w:p>
    <w:p>
      <w:pPr>
        <w:numPr>
          <w:ilvl w:val="0"/>
          <w:numId w:val="17"/>
        </w:numPr>
        <w:ind w:right="0" w:hanging="540"/>
        <w:rPr>
          <w:rFonts w:hint="eastAsia" w:ascii="宋体" w:hAnsi="宋体" w:eastAsia="宋体" w:cs="宋体"/>
          <w:highlight w:val="none"/>
        </w:rPr>
      </w:pPr>
      <w:r>
        <w:rPr>
          <w:rFonts w:hint="eastAsia" w:ascii="宋体" w:hAnsi="宋体" w:eastAsia="宋体" w:cs="宋体"/>
          <w:highlight w:val="none"/>
        </w:rPr>
        <w:t xml:space="preserve">另一方面，其它国际标准如国际电气技术委员会（IEC）、美国材料试验协会（ASTM）、美国电机设备制造业协会（NEMA）、日本工业标准（JIS）、中国国家标准（GB）、欧盟（EN）、英国标准（BS）及其它国家的标准等，如其标准内容能与本规格说明书内所要求的标准相符时，则有关标准亦可接受作为设备的制造依据。若所建议的标准与本技术规格说明书所规定的标准之间存在差异，应在设备定货前提出并提交建筑师/工程师批准。 </w:t>
      </w:r>
    </w:p>
    <w:p>
      <w:pPr>
        <w:numPr>
          <w:ilvl w:val="0"/>
          <w:numId w:val="17"/>
        </w:numPr>
        <w:ind w:right="0" w:hanging="540"/>
        <w:rPr>
          <w:rFonts w:hint="eastAsia" w:ascii="宋体" w:hAnsi="宋体" w:eastAsia="宋体" w:cs="宋体"/>
          <w:highlight w:val="none"/>
        </w:rPr>
      </w:pPr>
      <w:r>
        <w:rPr>
          <w:rFonts w:hint="eastAsia" w:ascii="宋体" w:hAnsi="宋体" w:eastAsia="宋体" w:cs="宋体"/>
          <w:highlight w:val="none"/>
        </w:rPr>
        <w:t xml:space="preserve">所有机电装置的施工应遵照当地的法规或条例等进行。倘若当地法规或条例对系统的设计，材料或设备的选型产生影响时，虽然本技术说明书或许没有特别指明，但所提供的系统、材料或设备必须符合有关条例的要求。 </w:t>
      </w:r>
    </w:p>
    <w:p>
      <w:pPr>
        <w:numPr>
          <w:ilvl w:val="0"/>
          <w:numId w:val="17"/>
        </w:numPr>
        <w:ind w:right="0" w:hanging="540"/>
        <w:rPr>
          <w:rFonts w:hint="eastAsia" w:ascii="宋体" w:hAnsi="宋体" w:eastAsia="宋体" w:cs="宋体"/>
          <w:highlight w:val="none"/>
        </w:rPr>
      </w:pPr>
      <w:r>
        <w:rPr>
          <w:rFonts w:hint="eastAsia" w:ascii="宋体" w:hAnsi="宋体" w:eastAsia="宋体" w:cs="宋体"/>
          <w:highlight w:val="none"/>
        </w:rPr>
        <w:t xml:space="preserve">倘若上述各技术要求之间互相出现矛盾或发生抵触时，则应按下列次序先后作优先考虑处理，并以较高者为依据。 </w:t>
      </w:r>
    </w:p>
    <w:p>
      <w:pPr>
        <w:numPr>
          <w:ilvl w:val="3"/>
          <w:numId w:val="18"/>
        </w:numPr>
        <w:ind w:right="0" w:hanging="539"/>
        <w:rPr>
          <w:rFonts w:hint="eastAsia" w:ascii="宋体" w:hAnsi="宋体" w:eastAsia="宋体" w:cs="宋体"/>
          <w:highlight w:val="none"/>
        </w:rPr>
      </w:pPr>
      <w:r>
        <w:rPr>
          <w:rFonts w:hint="eastAsia" w:ascii="宋体" w:hAnsi="宋体" w:eastAsia="宋体" w:cs="宋体"/>
          <w:highlight w:val="none"/>
        </w:rPr>
        <w:t xml:space="preserve">当地政府的条例，指令和规范； </w:t>
      </w:r>
    </w:p>
    <w:p>
      <w:pPr>
        <w:numPr>
          <w:ilvl w:val="3"/>
          <w:numId w:val="18"/>
        </w:numPr>
        <w:ind w:right="0" w:hanging="539"/>
        <w:rPr>
          <w:rFonts w:hint="eastAsia" w:ascii="宋体" w:hAnsi="宋体" w:eastAsia="宋体" w:cs="宋体"/>
          <w:highlight w:val="none"/>
        </w:rPr>
      </w:pPr>
      <w:r>
        <w:rPr>
          <w:rFonts w:hint="eastAsia" w:ascii="宋体" w:hAnsi="宋体" w:eastAsia="宋体" w:cs="宋体"/>
          <w:highlight w:val="none"/>
        </w:rPr>
        <w:t xml:space="preserve">各政府机关及部门的条例和守则； </w:t>
      </w:r>
    </w:p>
    <w:p>
      <w:pPr>
        <w:numPr>
          <w:ilvl w:val="3"/>
          <w:numId w:val="18"/>
        </w:numPr>
        <w:ind w:right="0" w:hanging="539"/>
        <w:rPr>
          <w:rFonts w:hint="eastAsia" w:ascii="宋体" w:hAnsi="宋体" w:eastAsia="宋体" w:cs="宋体"/>
          <w:highlight w:val="none"/>
        </w:rPr>
      </w:pPr>
      <w:r>
        <w:rPr>
          <w:rFonts w:hint="eastAsia" w:ascii="宋体" w:hAnsi="宋体" w:eastAsia="宋体" w:cs="宋体"/>
          <w:highlight w:val="none"/>
        </w:rPr>
        <w:t xml:space="preserve">本技术规格说明书和图纸； </w:t>
      </w:r>
    </w:p>
    <w:p>
      <w:pPr>
        <w:numPr>
          <w:ilvl w:val="3"/>
          <w:numId w:val="18"/>
        </w:numPr>
        <w:ind w:right="0" w:hanging="539"/>
        <w:rPr>
          <w:rFonts w:hint="eastAsia" w:ascii="宋体" w:hAnsi="宋体" w:eastAsia="宋体" w:cs="宋体"/>
          <w:highlight w:val="none"/>
        </w:rPr>
      </w:pPr>
      <w:r>
        <w:rPr>
          <w:rFonts w:hint="eastAsia" w:ascii="宋体" w:hAnsi="宋体" w:eastAsia="宋体" w:cs="宋体"/>
          <w:highlight w:val="none"/>
        </w:rPr>
        <w:t xml:space="preserve">其它认可的标准。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19"/>
        </w:numPr>
        <w:ind w:right="0" w:hanging="1078"/>
        <w:rPr>
          <w:rFonts w:hint="eastAsia" w:ascii="宋体" w:hAnsi="宋体" w:eastAsia="宋体" w:cs="宋体"/>
          <w:highlight w:val="none"/>
        </w:rPr>
      </w:pPr>
      <w:r>
        <w:rPr>
          <w:rFonts w:hint="eastAsia" w:ascii="宋体" w:hAnsi="宋体" w:eastAsia="宋体" w:cs="宋体"/>
          <w:highlight w:val="none"/>
        </w:rPr>
        <w:t xml:space="preserve">获取批准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4" w:line="239" w:lineRule="auto"/>
        <w:ind w:left="840" w:right="0" w:firstLine="420"/>
        <w:jc w:val="center"/>
        <w:rPr>
          <w:rFonts w:hint="eastAsia" w:ascii="宋体" w:hAnsi="宋体" w:eastAsia="宋体" w:cs="宋体"/>
          <w:highlight w:val="none"/>
        </w:rPr>
      </w:pPr>
      <w:r>
        <w:rPr>
          <w:rFonts w:hint="eastAsia" w:ascii="宋体" w:hAnsi="宋体" w:eastAsia="宋体" w:cs="宋体"/>
          <w:highlight w:val="none"/>
        </w:rPr>
        <w:t>承包单位需负责向当地有关政府部门、机构和管理当局取得本合约内有关装置所需的批准书。一切有关费用需包括在报价内。若因有关装置所有未能获</w:t>
      </w:r>
    </w:p>
    <w:p>
      <w:pPr>
        <w:ind w:left="1348" w:right="0"/>
        <w:rPr>
          <w:rFonts w:hint="eastAsia" w:ascii="宋体" w:hAnsi="宋体" w:eastAsia="宋体" w:cs="宋体"/>
          <w:highlight w:val="none"/>
        </w:rPr>
      </w:pPr>
      <w:r>
        <w:rPr>
          <w:rFonts w:hint="eastAsia" w:ascii="宋体" w:hAnsi="宋体" w:eastAsia="宋体" w:cs="宋体"/>
          <w:highlight w:val="none"/>
        </w:rPr>
        <w:t xml:space="preserve">得应有的批准书而引致工期延误，一切损失费用均由承包单位负责。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19"/>
        </w:numPr>
        <w:ind w:right="0" w:hanging="1078"/>
        <w:rPr>
          <w:rFonts w:hint="eastAsia" w:ascii="宋体" w:hAnsi="宋体" w:eastAsia="宋体" w:cs="宋体"/>
          <w:highlight w:val="none"/>
        </w:rPr>
      </w:pPr>
      <w:r>
        <w:rPr>
          <w:rFonts w:hint="eastAsia" w:ascii="宋体" w:hAnsi="宋体" w:eastAsia="宋体" w:cs="宋体"/>
          <w:highlight w:val="none"/>
        </w:rPr>
        <w:t xml:space="preserve">设备的制造及种类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0"/>
        </w:numPr>
        <w:ind w:right="0" w:hanging="1078"/>
        <w:rPr>
          <w:rFonts w:hint="eastAsia" w:ascii="宋体" w:hAnsi="宋体" w:eastAsia="宋体" w:cs="宋体"/>
          <w:highlight w:val="none"/>
        </w:rPr>
      </w:pPr>
      <w:r>
        <w:rPr>
          <w:rFonts w:hint="eastAsia" w:ascii="宋体" w:hAnsi="宋体" w:eastAsia="宋体" w:cs="宋体"/>
          <w:highlight w:val="none"/>
        </w:rPr>
        <w:t xml:space="preserve">本合同文件应提供给投标单位进行招标并提供其所建议设备及安装方法，同时也能保证有关设备能完全符合基本要求和建筑及策划发展的要求，并能配合建筑结构方面为本系统所作的安排。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0"/>
        </w:numPr>
        <w:ind w:right="0" w:hanging="1078"/>
        <w:rPr>
          <w:rFonts w:hint="eastAsia" w:ascii="宋体" w:hAnsi="宋体" w:eastAsia="宋体" w:cs="宋体"/>
          <w:highlight w:val="none"/>
        </w:rPr>
      </w:pPr>
      <w:r>
        <w:rPr>
          <w:rFonts w:hint="eastAsia" w:ascii="宋体" w:hAnsi="宋体" w:eastAsia="宋体" w:cs="宋体"/>
          <w:highlight w:val="none"/>
        </w:rPr>
        <w:t xml:space="preserve">在任何情况下，若业主认为所呈报的招标文件其内容违反合约的基本要求和精神，或企图修改合约文件的条款、工程范围或其它要求时，业主保留拒绝接受该类投标的权利。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0"/>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承包单位于选择设备的制造和种类时，应确保提供适当的保养、维修和更换方面的措施，并确保不会造成延误而导致对业主造成不便或损失。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0"/>
        </w:numPr>
        <w:ind w:right="0" w:hanging="1078"/>
        <w:rPr>
          <w:rFonts w:hint="eastAsia" w:ascii="宋体" w:hAnsi="宋体" w:eastAsia="宋体" w:cs="宋体"/>
          <w:highlight w:val="none"/>
        </w:rPr>
      </w:pPr>
      <w:r>
        <w:rPr>
          <w:rFonts w:hint="eastAsia" w:ascii="宋体" w:hAnsi="宋体" w:eastAsia="宋体" w:cs="宋体"/>
          <w:highlight w:val="none"/>
        </w:rPr>
        <w:t xml:space="preserve">所有选用的设备及材料不可含有石棉或石棉产品物质。  </w:t>
      </w:r>
    </w:p>
    <w:p>
      <w:pPr>
        <w:ind w:left="0" w:right="0" w:firstLine="0"/>
        <w:rPr>
          <w:rFonts w:hint="eastAsia" w:ascii="宋体" w:hAnsi="宋体" w:eastAsia="宋体" w:cs="宋体"/>
          <w:highlight w:val="none"/>
        </w:rPr>
      </w:pP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11.4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保证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1"/>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承包单位需保证整套机电系统之安装及运作均达到有关部门之要求。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1"/>
        </w:numPr>
        <w:ind w:right="0" w:hanging="1078"/>
        <w:rPr>
          <w:rFonts w:hint="eastAsia" w:ascii="宋体" w:hAnsi="宋体" w:eastAsia="宋体" w:cs="宋体"/>
          <w:highlight w:val="none"/>
        </w:rPr>
      </w:pPr>
      <w:r>
        <w:rPr>
          <w:rFonts w:hint="eastAsia" w:ascii="宋体" w:hAnsi="宋体" w:eastAsia="宋体" w:cs="宋体"/>
          <w:highlight w:val="none"/>
        </w:rPr>
        <w:t>承包单位须保证其所提供的设备或配件，无论是从本技术说明书内选择或由</w:t>
      </w:r>
    </w:p>
    <w:p>
      <w:pPr>
        <w:ind w:left="1348" w:right="0"/>
        <w:rPr>
          <w:rFonts w:hint="eastAsia" w:ascii="宋体" w:hAnsi="宋体" w:eastAsia="宋体" w:cs="宋体"/>
          <w:highlight w:val="none"/>
        </w:rPr>
      </w:pPr>
      <w:r>
        <w:rPr>
          <w:rFonts w:hint="eastAsia" w:ascii="宋体" w:hAnsi="宋体" w:eastAsia="宋体" w:cs="宋体"/>
          <w:highlight w:val="none"/>
        </w:rPr>
        <w:t xml:space="preserve">承包单位自行选择，均能按要求在任何工作环境下正常操作。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1"/>
        </w:numPr>
        <w:ind w:right="0" w:hanging="1078"/>
        <w:rPr>
          <w:rFonts w:hint="eastAsia" w:ascii="宋体" w:hAnsi="宋体" w:eastAsia="宋体" w:cs="宋体"/>
          <w:highlight w:val="none"/>
        </w:rPr>
      </w:pPr>
      <w:r>
        <w:rPr>
          <w:rFonts w:hint="eastAsia" w:ascii="宋体" w:hAnsi="宋体" w:eastAsia="宋体" w:cs="宋体"/>
          <w:highlight w:val="none"/>
        </w:rPr>
        <w:t>除本技术规格说明书另有说明外，保修期是自获得业主颁发的竣工证书之日</w:t>
      </w:r>
    </w:p>
    <w:p>
      <w:pPr>
        <w:ind w:left="1348" w:right="0"/>
        <w:rPr>
          <w:rFonts w:hint="eastAsia" w:ascii="宋体" w:hAnsi="宋体" w:eastAsia="宋体" w:cs="宋体"/>
          <w:highlight w:val="none"/>
        </w:rPr>
      </w:pPr>
      <w:r>
        <w:rPr>
          <w:rFonts w:hint="eastAsia" w:ascii="宋体" w:hAnsi="宋体" w:eastAsia="宋体" w:cs="宋体"/>
          <w:highlight w:val="none"/>
        </w:rPr>
        <w:t>起计</w:t>
      </w:r>
      <w:r>
        <w:rPr>
          <w:rFonts w:hint="eastAsia" w:cs="宋体"/>
          <w:highlight w:val="none"/>
          <w:lang w:val="en-US" w:eastAsia="zh-CN"/>
        </w:rPr>
        <w:t>两年</w:t>
      </w:r>
      <w:r>
        <w:rPr>
          <w:rFonts w:hint="eastAsia" w:ascii="宋体" w:hAnsi="宋体" w:eastAsia="宋体" w:cs="宋体"/>
          <w:highlight w:val="none"/>
        </w:rPr>
        <w:t xml:space="preserve">为止。（具体以商务合同要求为准）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1"/>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承包单位如认为本技术规格说明或图纸中的要求或说明，对其所保证或所负的责任并不适用或不一致，必须于投标时提出。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1"/>
        </w:numPr>
        <w:ind w:right="0" w:hanging="1078"/>
        <w:rPr>
          <w:rFonts w:hint="eastAsia" w:ascii="宋体" w:hAnsi="宋体" w:eastAsia="宋体" w:cs="宋体"/>
          <w:highlight w:val="none"/>
        </w:rPr>
      </w:pPr>
      <w:r>
        <w:rPr>
          <w:rFonts w:hint="eastAsia" w:ascii="宋体" w:hAnsi="宋体" w:eastAsia="宋体" w:cs="宋体"/>
          <w:highlight w:val="none"/>
        </w:rPr>
        <w:t xml:space="preserve">任何制造商的产品保证在完工日仍然生效者，该等保证的属权将自动转归业主所拥有，有关制造商保证下续有的权利和责任亦转归业主所有。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1"/>
        </w:numPr>
        <w:ind w:right="0" w:hanging="1078"/>
        <w:rPr>
          <w:rFonts w:hint="eastAsia" w:ascii="宋体" w:hAnsi="宋体" w:eastAsia="宋体" w:cs="宋体"/>
          <w:highlight w:val="none"/>
        </w:rPr>
      </w:pPr>
      <w:r>
        <w:rPr>
          <w:rFonts w:hint="eastAsia" w:ascii="宋体" w:hAnsi="宋体" w:eastAsia="宋体" w:cs="宋体"/>
          <w:highlight w:val="none"/>
        </w:rPr>
        <w:t xml:space="preserve">若在本合约保修期满后发现系统上潜在缺陷，而经建筑师/工程师认为是由于承包单位的工料和施工方法不符合本规格说明书和图纸或有关标准，规范及条例的要求而导致者，承包单位须负全责免费更换或修正，而不能以保修期满、维修保养证书已签发、发包方已接收安装、工料或施工方案已获批准等理由为借口推诿，否则业主有权扣留剩余质保金(每日1%之总质保金)作为罚金，直至问题获得圆满解决为止。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11.5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设备的更改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2"/>
        </w:numPr>
        <w:ind w:right="0" w:hanging="1078"/>
        <w:rPr>
          <w:rFonts w:hint="eastAsia" w:ascii="宋体" w:hAnsi="宋体" w:eastAsia="宋体" w:cs="宋体"/>
          <w:highlight w:val="none"/>
        </w:rPr>
      </w:pPr>
      <w:r>
        <w:rPr>
          <w:rFonts w:hint="eastAsia" w:ascii="宋体" w:hAnsi="宋体" w:eastAsia="宋体" w:cs="宋体"/>
          <w:highlight w:val="none"/>
        </w:rPr>
        <w:t xml:space="preserve">在本合同签订后，承包单位原则上将不被允许使用非投标时所建议的设备或材料。若在特殊情况下，承包单位需更改某产品，则须以书面提交合理解释及证明文件，以及建议设备或材料的制造商。重新建议的设备或材料制造商，必须于本招标文件的可接受生产商清单内挑选，并同时获得建筑师/工程师的书面批准方可使用，该设备及材料必须达到本技术规格说明书的要求。此外，额外费用或合约上的责任应由本承包单位完全负责。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2"/>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承包单位须明白到更改合同上承诺的材料及设备通常会导致延迟审批时间，因建筑师/工程师需对有关更改作出额外的审批。承包单位需对有关的延误负全部责任，业主在此问题上所作出的决定为最终决定。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2"/>
        </w:numPr>
        <w:ind w:right="0" w:hanging="1078"/>
        <w:rPr>
          <w:rFonts w:hint="eastAsia" w:ascii="宋体" w:hAnsi="宋体" w:eastAsia="宋体" w:cs="宋体"/>
          <w:highlight w:val="none"/>
        </w:rPr>
      </w:pPr>
      <w:r>
        <w:rPr>
          <w:rFonts w:hint="eastAsia" w:ascii="宋体" w:hAnsi="宋体" w:eastAsia="宋体" w:cs="宋体"/>
          <w:highlight w:val="none"/>
        </w:rPr>
        <w:t xml:space="preserve">若业主接受承包单位采用与投标时不同的材料及设备，因此而导致的有关改动包括建筑和结构的改动或对本身和其它承包单位产生的影响而带来的一切额外费用均由承包单位承担。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2"/>
        </w:numPr>
        <w:ind w:right="0" w:hanging="1078"/>
        <w:rPr>
          <w:rFonts w:hint="eastAsia" w:ascii="宋体" w:hAnsi="宋体" w:eastAsia="宋体" w:cs="宋体"/>
          <w:highlight w:val="none"/>
        </w:rPr>
      </w:pPr>
      <w:r>
        <w:rPr>
          <w:rFonts w:hint="eastAsia" w:ascii="宋体" w:hAnsi="宋体" w:eastAsia="宋体" w:cs="宋体"/>
          <w:highlight w:val="none"/>
        </w:rPr>
        <w:t xml:space="preserve">若设备的更改会导致建筑物需要显著改动，建筑师原则上不会接受。若建筑师/工程师接受，所有有关的建筑改动及对其它承包单位造成影响而带来的一切额外费用等，均由承包单位承担。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2"/>
        </w:numPr>
        <w:ind w:right="0" w:hanging="1078"/>
        <w:rPr>
          <w:rFonts w:hint="eastAsia" w:ascii="宋体" w:hAnsi="宋体" w:eastAsia="宋体" w:cs="宋体"/>
          <w:highlight w:val="none"/>
        </w:rPr>
      </w:pPr>
      <w:r>
        <w:rPr>
          <w:rFonts w:hint="eastAsia" w:ascii="宋体" w:hAnsi="宋体" w:eastAsia="宋体" w:cs="宋体"/>
          <w:highlight w:val="none"/>
        </w:rPr>
        <w:t xml:space="preserve">如获批准的改动与原招标图纸上所示或所说明的管道、电缆、导管和设备的数量及排列有差距，承包单位需提供有关管道、结构支架、保温材料、控制器、电动机、启动器、电缆和导管和其它所需附加材料及附件，并须承担所有增加的费用。 </w:t>
      </w:r>
    </w:p>
    <w:p>
      <w:pPr>
        <w:ind w:left="1350" w:right="0" w:firstLine="0"/>
        <w:rPr>
          <w:rFonts w:hint="eastAsia" w:ascii="宋体" w:hAnsi="宋体" w:eastAsia="宋体" w:cs="宋体"/>
          <w:highlight w:val="none"/>
        </w:rPr>
      </w:pPr>
    </w:p>
    <w:p>
      <w:pPr>
        <w:ind w:left="282" w:right="0"/>
        <w:rPr>
          <w:rFonts w:hint="eastAsia" w:ascii="宋体" w:hAnsi="宋体" w:eastAsia="宋体" w:cs="宋体"/>
          <w:highlight w:val="none"/>
        </w:rPr>
      </w:pPr>
      <w:r>
        <w:rPr>
          <w:rFonts w:hint="eastAsia" w:ascii="宋体" w:hAnsi="宋体" w:eastAsia="宋体" w:cs="宋体"/>
          <w:highlight w:val="none"/>
        </w:rPr>
        <w:t xml:space="preserve">11.6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拒绝不适合的材料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3"/>
        </w:numPr>
        <w:ind w:right="0" w:hanging="1078"/>
        <w:rPr>
          <w:rFonts w:hint="eastAsia" w:ascii="宋体" w:hAnsi="宋体" w:eastAsia="宋体" w:cs="宋体"/>
          <w:highlight w:val="none"/>
        </w:rPr>
      </w:pPr>
      <w:r>
        <w:rPr>
          <w:rFonts w:hint="eastAsia" w:ascii="宋体" w:hAnsi="宋体" w:eastAsia="宋体" w:cs="宋体"/>
          <w:highlight w:val="none"/>
        </w:rPr>
        <w:t>业主/建筑师/工程师有权拒绝接受任何不符合本技术规格说明书要求的设备，材料和工艺，并同时有权命令承包单位将不符合要求的设备、材料和安装拆</w:t>
      </w:r>
    </w:p>
    <w:p>
      <w:pPr>
        <w:ind w:left="1348" w:right="0"/>
        <w:rPr>
          <w:rFonts w:hint="eastAsia" w:ascii="宋体" w:hAnsi="宋体" w:eastAsia="宋体" w:cs="宋体"/>
          <w:highlight w:val="none"/>
        </w:rPr>
      </w:pPr>
      <w:r>
        <w:rPr>
          <w:rFonts w:hint="eastAsia" w:ascii="宋体" w:hAnsi="宋体" w:eastAsia="宋体" w:cs="宋体"/>
          <w:highlight w:val="none"/>
        </w:rPr>
        <w:t xml:space="preserve">除和更换，因此而导致工期延误及一切有关费用均由承包单位负责。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3"/>
        </w:numPr>
        <w:ind w:right="0" w:hanging="1078"/>
        <w:rPr>
          <w:rFonts w:hint="eastAsia" w:ascii="宋体" w:hAnsi="宋体" w:eastAsia="宋体" w:cs="宋体"/>
          <w:highlight w:val="none"/>
        </w:rPr>
      </w:pPr>
      <w:r>
        <w:rPr>
          <w:rFonts w:hint="eastAsia" w:ascii="宋体" w:hAnsi="宋体" w:eastAsia="宋体" w:cs="宋体"/>
          <w:highlight w:val="none"/>
        </w:rPr>
        <w:t>工料是否符合规格说明书的要求，以按业主的裁判为最后决定及约束。本合</w:t>
      </w:r>
    </w:p>
    <w:p>
      <w:pPr>
        <w:ind w:left="1348" w:right="0"/>
        <w:rPr>
          <w:rFonts w:hint="eastAsia" w:ascii="宋体" w:hAnsi="宋体" w:eastAsia="宋体" w:cs="宋体"/>
          <w:highlight w:val="none"/>
        </w:rPr>
      </w:pPr>
      <w:r>
        <w:rPr>
          <w:rFonts w:hint="eastAsia" w:ascii="宋体" w:hAnsi="宋体" w:eastAsia="宋体" w:cs="宋体"/>
          <w:highlight w:val="none"/>
        </w:rPr>
        <w:t xml:space="preserve">同的真谛精神及原意，是要求整个工程按合同要求圆满地完成。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3"/>
        </w:numPr>
        <w:ind w:right="0" w:hanging="1078"/>
        <w:rPr>
          <w:rFonts w:hint="eastAsia" w:ascii="宋体" w:hAnsi="宋体" w:eastAsia="宋体" w:cs="宋体"/>
          <w:highlight w:val="none"/>
        </w:rPr>
      </w:pPr>
      <w:r>
        <w:rPr>
          <w:rFonts w:hint="eastAsia" w:ascii="宋体" w:hAnsi="宋体" w:eastAsia="宋体" w:cs="宋体"/>
          <w:highlight w:val="none"/>
        </w:rPr>
        <w:t xml:space="preserve">不合规格而被拒绝的材料或安装，不能构成逾时完工的原因或借口。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11.7 </w:t>
      </w:r>
      <w:r>
        <w:rPr>
          <w:rFonts w:hint="eastAsia" w:ascii="宋体" w:hAnsi="宋体" w:eastAsia="宋体" w:cs="宋体"/>
          <w:highlight w:val="none"/>
        </w:rPr>
        <w:tab/>
      </w:r>
      <w:r>
        <w:rPr>
          <w:rFonts w:hint="eastAsia" w:ascii="宋体" w:hAnsi="宋体" w:eastAsia="宋体" w:cs="宋体"/>
          <w:highlight w:val="none"/>
        </w:rPr>
        <w:t xml:space="preserve">工件的包装和保护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4"/>
        </w:numPr>
        <w:ind w:right="0" w:hanging="1078"/>
        <w:rPr>
          <w:rFonts w:hint="eastAsia" w:ascii="宋体" w:hAnsi="宋体" w:eastAsia="宋体" w:cs="宋体"/>
          <w:highlight w:val="none"/>
        </w:rPr>
      </w:pPr>
      <w:r>
        <w:rPr>
          <w:rFonts w:hint="eastAsia" w:ascii="宋体" w:hAnsi="宋体" w:eastAsia="宋体" w:cs="宋体"/>
          <w:highlight w:val="none"/>
        </w:rPr>
        <w:t xml:space="preserve">所有运送到工地的设备和材料均应保持完好的状态，并应有适当的包装和保护以避免在运送过程中、恶劣的气候或其它情况下造成损毁。同时，在实际情况许可下，设备和材料在进行施工前亦应存放于包装箱内，或用防护罩加以保护。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4"/>
        </w:numPr>
        <w:ind w:right="0" w:hanging="1078"/>
        <w:rPr>
          <w:rFonts w:hint="eastAsia" w:ascii="宋体" w:hAnsi="宋体" w:eastAsia="宋体" w:cs="宋体"/>
          <w:highlight w:val="none"/>
        </w:rPr>
      </w:pPr>
      <w:r>
        <w:rPr>
          <w:rFonts w:hint="eastAsia" w:ascii="宋体" w:hAnsi="宋体" w:eastAsia="宋体" w:cs="宋体"/>
          <w:highlight w:val="none"/>
        </w:rPr>
        <w:t>所有于运送过程中或于工地上受损毁的设备或材料，将被拒绝接受，承包单</w:t>
      </w:r>
    </w:p>
    <w:p>
      <w:pPr>
        <w:ind w:left="1348" w:right="0"/>
        <w:rPr>
          <w:rFonts w:hint="eastAsia" w:ascii="宋体" w:hAnsi="宋体" w:eastAsia="宋体" w:cs="宋体"/>
          <w:highlight w:val="none"/>
        </w:rPr>
      </w:pPr>
      <w:r>
        <w:rPr>
          <w:rFonts w:hint="eastAsia" w:ascii="宋体" w:hAnsi="宋体" w:eastAsia="宋体" w:cs="宋体"/>
          <w:highlight w:val="none"/>
        </w:rPr>
        <w:t xml:space="preserve">位必须无偿更换。因更换设备或材料需要求延长工期将不获接纳。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4"/>
        </w:numPr>
        <w:ind w:right="0" w:hanging="1078"/>
        <w:rPr>
          <w:rFonts w:hint="eastAsia" w:ascii="宋体" w:hAnsi="宋体" w:eastAsia="宋体" w:cs="宋体"/>
          <w:highlight w:val="none"/>
        </w:rPr>
      </w:pPr>
      <w:r>
        <w:rPr>
          <w:rFonts w:hint="eastAsia" w:ascii="宋体" w:hAnsi="宋体" w:eastAsia="宋体" w:cs="宋体"/>
          <w:highlight w:val="none"/>
        </w:rPr>
        <w:t xml:space="preserve">在工地现场可供存放物料的场地极有为限，因此承包单位对大型设备的付运必须事先有详细的计划和安排，并提出切实可行的运送方案。临时贮存场地原则上不提供。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11.8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对设备的责任拥有权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5"/>
        </w:numPr>
        <w:ind w:right="0" w:hanging="1078"/>
        <w:rPr>
          <w:rFonts w:hint="eastAsia" w:ascii="宋体" w:hAnsi="宋体" w:eastAsia="宋体" w:cs="宋体"/>
          <w:highlight w:val="none"/>
        </w:rPr>
      </w:pPr>
      <w:r>
        <w:rPr>
          <w:rFonts w:hint="eastAsia" w:ascii="宋体" w:hAnsi="宋体" w:eastAsia="宋体" w:cs="宋体"/>
          <w:highlight w:val="none"/>
        </w:rPr>
        <w:t xml:space="preserve">在本工程进行期间承包单位须对任何材料、设备的破损和遗失等负责。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5"/>
        </w:numPr>
        <w:ind w:right="0" w:hanging="1078"/>
        <w:rPr>
          <w:rFonts w:hint="eastAsia" w:ascii="宋体" w:hAnsi="宋体" w:eastAsia="宋体" w:cs="宋体"/>
          <w:highlight w:val="none"/>
        </w:rPr>
      </w:pPr>
      <w:r>
        <w:rPr>
          <w:rFonts w:hint="eastAsia" w:ascii="宋体" w:hAnsi="宋体" w:eastAsia="宋体" w:cs="宋体"/>
          <w:highlight w:val="none"/>
        </w:rPr>
        <w:t xml:space="preserve">在本合约范围内所提供的一切材料、设备一经送抵工地后，其拥有权归业主所有。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5"/>
        </w:numPr>
        <w:ind w:right="0" w:hanging="1078"/>
        <w:rPr>
          <w:rFonts w:hint="eastAsia" w:ascii="宋体" w:hAnsi="宋体" w:eastAsia="宋体" w:cs="宋体"/>
          <w:highlight w:val="none"/>
        </w:rPr>
      </w:pPr>
      <w:r>
        <w:rPr>
          <w:rFonts w:hint="eastAsia" w:ascii="宋体" w:hAnsi="宋体" w:eastAsia="宋体" w:cs="宋体"/>
          <w:highlight w:val="none"/>
        </w:rPr>
        <w:t xml:space="preserve">在未得建筑师/工程师的书面批准前，任何材料、设备皆不得移离工地。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11.9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装置的大小及设备运送通道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6"/>
        </w:numPr>
        <w:ind w:right="0" w:hanging="1078"/>
        <w:rPr>
          <w:rFonts w:hint="eastAsia" w:ascii="宋体" w:hAnsi="宋体" w:eastAsia="宋体" w:cs="宋体"/>
          <w:highlight w:val="none"/>
        </w:rPr>
      </w:pPr>
      <w:r>
        <w:rPr>
          <w:rFonts w:hint="eastAsia" w:ascii="宋体" w:hAnsi="宋体" w:eastAsia="宋体" w:cs="宋体"/>
          <w:highlight w:val="none"/>
        </w:rPr>
        <w:t xml:space="preserve">所提供的装置和设置的大小尺寸应能适合于所指定的安装空间，并须考虑提供足够的维修及保养通道。承包单位应负责与总承包单位协调所需检修门的位置及要求。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6"/>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应呈交所提供设备的施工图和具体尺寸要求。若所提供的设备其尺寸与图纸所标不符，因此而引起的一切改动和费用开支由承包单位负责。承包单位应负责把全部材料运送到安装现场，对于大型重要设备的运送方案，应以图纸表示，并事先呈交建筑师/工程师审查。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11.10 </w:t>
      </w:r>
      <w:r>
        <w:rPr>
          <w:rFonts w:hint="eastAsia" w:ascii="宋体" w:hAnsi="宋体" w:eastAsia="宋体" w:cs="宋体"/>
          <w:highlight w:val="none"/>
        </w:rPr>
        <w:tab/>
      </w:r>
      <w:r>
        <w:rPr>
          <w:rFonts w:hint="eastAsia" w:ascii="宋体" w:hAnsi="宋体" w:eastAsia="宋体" w:cs="宋体"/>
          <w:highlight w:val="none"/>
        </w:rPr>
        <w:t xml:space="preserve">样品审批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7"/>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须于获得合约后或签定中标通知书后的两个星期内，提交一份具体的样品清单给建筑师/工程师审批。清单内应包括设备及材料的名称、制造商名称、产地、型号、预计呈交及最后审批的日期等。承包单位应清楚了解，此清单获批准接受后，如建筑师/工程师认为有必要时，仍可要求承包单位继续补充清单以外的样品。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7"/>
        </w:numPr>
        <w:ind w:right="0" w:hanging="1078"/>
        <w:rPr>
          <w:rFonts w:hint="eastAsia" w:ascii="宋体" w:hAnsi="宋体" w:eastAsia="宋体" w:cs="宋体"/>
          <w:highlight w:val="none"/>
        </w:rPr>
      </w:pPr>
      <w:r>
        <w:rPr>
          <w:rFonts w:hint="eastAsia" w:ascii="宋体" w:hAnsi="宋体" w:eastAsia="宋体" w:cs="宋体"/>
          <w:highlight w:val="none"/>
        </w:rPr>
        <w:t>送审的样品需采用木板挂列提交，样品板应按照业主指定的统一模式制造。</w:t>
      </w:r>
    </w:p>
    <w:p>
      <w:pPr>
        <w:ind w:left="1348" w:right="0"/>
        <w:rPr>
          <w:rFonts w:hint="eastAsia" w:ascii="宋体" w:hAnsi="宋体" w:eastAsia="宋体" w:cs="宋体"/>
          <w:highlight w:val="none"/>
        </w:rPr>
      </w:pPr>
      <w:r>
        <w:rPr>
          <w:rFonts w:hint="eastAsia" w:ascii="宋体" w:hAnsi="宋体" w:eastAsia="宋体" w:cs="宋体"/>
          <w:highlight w:val="none"/>
        </w:rPr>
        <w:t xml:space="preserve">样品板应包括：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28"/>
        </w:numPr>
        <w:ind w:right="0" w:hanging="360"/>
        <w:rPr>
          <w:rFonts w:hint="eastAsia" w:ascii="宋体" w:hAnsi="宋体" w:eastAsia="宋体" w:cs="宋体"/>
          <w:highlight w:val="none"/>
        </w:rPr>
      </w:pPr>
      <w:r>
        <w:rPr>
          <w:rFonts w:hint="eastAsia" w:ascii="宋体" w:hAnsi="宋体" w:eastAsia="宋体" w:cs="宋体"/>
          <w:highlight w:val="none"/>
        </w:rPr>
        <w:t xml:space="preserve">所有在本工程上所用小于 300 立方毫米的材料和附件 </w:t>
      </w:r>
    </w:p>
    <w:p>
      <w:pPr>
        <w:numPr>
          <w:ilvl w:val="0"/>
          <w:numId w:val="28"/>
        </w:numPr>
        <w:ind w:right="0" w:hanging="360"/>
        <w:rPr>
          <w:rFonts w:hint="eastAsia" w:ascii="宋体" w:hAnsi="宋体" w:eastAsia="宋体" w:cs="宋体"/>
          <w:highlight w:val="none"/>
        </w:rPr>
      </w:pPr>
      <w:r>
        <w:rPr>
          <w:rFonts w:hint="eastAsia" w:ascii="宋体" w:hAnsi="宋体" w:eastAsia="宋体" w:cs="宋体"/>
          <w:highlight w:val="none"/>
        </w:rPr>
        <w:t xml:space="preserve">所有有关的安装工艺样品。 </w:t>
      </w:r>
    </w:p>
    <w:p>
      <w:pPr>
        <w:numPr>
          <w:ilvl w:val="0"/>
          <w:numId w:val="28"/>
        </w:numPr>
        <w:ind w:right="0" w:hanging="360"/>
        <w:rPr>
          <w:rFonts w:hint="eastAsia" w:ascii="宋体" w:hAnsi="宋体" w:eastAsia="宋体" w:cs="宋体"/>
          <w:highlight w:val="none"/>
        </w:rPr>
      </w:pPr>
      <w:r>
        <w:rPr>
          <w:rFonts w:hint="eastAsia" w:ascii="宋体" w:hAnsi="宋体" w:eastAsia="宋体" w:cs="宋体"/>
          <w:highlight w:val="none"/>
        </w:rPr>
        <w:t xml:space="preserve">所有影响及涉及建筑外观的材料和附件。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有关材料及工艺的样品须先获得建筑师/工程师的书面批准才可施工。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27"/>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须将获批准的样品板（一式两份）运送至工地，一份保留在工地现场的样品房内，一份保留在业主办事处，作为日后对所用材料和工艺的核对和验收标准。所有不符合上述样品的材料或工艺要求将被拒绝接受，承包单位需将其更换，并且不能因此增加合约价格和作为拖期的理由。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11.10.4 在每一个样品上应附有中文说明标签，清楚标注有关承包单位名称、合约名称、制造商名称产地及将应用的系统等资料。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11.10.5 每件样品本身须印有但不限于下列之资料： </w:t>
      </w:r>
    </w:p>
    <w:p>
      <w:pPr>
        <w:numPr>
          <w:ilvl w:val="0"/>
          <w:numId w:val="29"/>
        </w:numPr>
        <w:ind w:right="0" w:hanging="360"/>
        <w:rPr>
          <w:rFonts w:hint="eastAsia" w:ascii="宋体" w:hAnsi="宋体" w:eastAsia="宋体" w:cs="宋体"/>
          <w:highlight w:val="none"/>
        </w:rPr>
      </w:pPr>
      <w:r>
        <w:rPr>
          <w:rFonts w:hint="eastAsia" w:ascii="宋体" w:hAnsi="宋体" w:eastAsia="宋体" w:cs="宋体"/>
          <w:highlight w:val="none"/>
        </w:rPr>
        <w:t xml:space="preserve">制造商名称 </w:t>
      </w:r>
    </w:p>
    <w:p>
      <w:pPr>
        <w:numPr>
          <w:ilvl w:val="0"/>
          <w:numId w:val="29"/>
        </w:numPr>
        <w:ind w:right="0" w:hanging="360"/>
        <w:rPr>
          <w:rFonts w:hint="eastAsia" w:ascii="宋体" w:hAnsi="宋体" w:eastAsia="宋体" w:cs="宋体"/>
          <w:highlight w:val="none"/>
        </w:rPr>
      </w:pPr>
      <w:r>
        <w:rPr>
          <w:rFonts w:hint="eastAsia" w:ascii="宋体" w:hAnsi="宋体" w:eastAsia="宋体" w:cs="宋体"/>
          <w:highlight w:val="none"/>
        </w:rPr>
        <w:t xml:space="preserve">产品型号 </w:t>
      </w:r>
    </w:p>
    <w:p>
      <w:pPr>
        <w:numPr>
          <w:ilvl w:val="0"/>
          <w:numId w:val="29"/>
        </w:numPr>
        <w:ind w:right="0" w:hanging="360"/>
        <w:rPr>
          <w:rFonts w:hint="eastAsia" w:ascii="宋体" w:hAnsi="宋体" w:eastAsia="宋体" w:cs="宋体"/>
          <w:highlight w:val="none"/>
        </w:rPr>
      </w:pPr>
      <w:r>
        <w:rPr>
          <w:rFonts w:hint="eastAsia" w:ascii="宋体" w:hAnsi="宋体" w:eastAsia="宋体" w:cs="宋体"/>
          <w:highlight w:val="none"/>
        </w:rPr>
        <w:t xml:space="preserve">符合之标准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11.10.6 此外，按技术规格说明书的要求，承包单位须提供足够的材料样品作试验之用。若有需要时将进行破坏性的样品试验。而此等样品和试验所需的有关费用应包括在本合约价格内。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11.11 </w:t>
      </w:r>
      <w:r>
        <w:rPr>
          <w:rFonts w:hint="eastAsia" w:ascii="宋体" w:hAnsi="宋体" w:eastAsia="宋体" w:cs="宋体"/>
          <w:highlight w:val="none"/>
        </w:rPr>
        <w:tab/>
      </w:r>
      <w:r>
        <w:rPr>
          <w:rFonts w:hint="eastAsia" w:ascii="宋体" w:hAnsi="宋体" w:eastAsia="宋体" w:cs="宋体"/>
          <w:highlight w:val="none"/>
        </w:rPr>
        <w:t xml:space="preserve">材料和工艺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须于获得合约后或签定中标通知书后的两个星期内，提交一份详尽的材料和设备清单给建筑师/工程师审批。清单内应包括材料和设备的名称、制造标准、预计呈交及最后审批的日期等。承包单位应清楚了解，在此清单获批准接受后，如建筑师/工程师认为有必要时，仍可要求承包单位继续补充清单以外的材料和设备。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除呈交材料及设备外，承包单位须根据工程进度的安排，按业主要求在指定位置先进行样板安装。如样板安装因工艺或任何原因未能获得建筑师/工程师接受，本承包单位须进行拆除、整改、重新安装等工作，直至获业主接受，</w:t>
      </w:r>
    </w:p>
    <w:p>
      <w:pPr>
        <w:ind w:left="1348" w:right="0"/>
        <w:rPr>
          <w:rFonts w:hint="eastAsia" w:ascii="宋体" w:hAnsi="宋体" w:eastAsia="宋体" w:cs="宋体"/>
          <w:highlight w:val="none"/>
        </w:rPr>
      </w:pPr>
      <w:r>
        <w:rPr>
          <w:rFonts w:hint="eastAsia" w:ascii="宋体" w:hAnsi="宋体" w:eastAsia="宋体" w:cs="宋体"/>
          <w:highlight w:val="none"/>
        </w:rPr>
        <w:t xml:space="preserve">而有关的返工费用应由承包单位负责，并不得作为拖期的理由。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除了本技术规格说明书有特殊说明外，本合约范围内所使用的所有设备，材料和物品均为全新和标准的产品，并且具有适合的等级标准。此外，本技术规格说明书内所提及的任何设备、材料、制品或专利制品的商品名称、制造商或产品说明，其作用主要是设立质量标准的依据而不应理解为指定采用任何商品或限制商品竞争。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同类型的设备和材料应采用同一制造商的产品。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除特别说明外，自行生产或本地制造的设备须获业主/建筑师/工程师批准方可采用。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同类型的设备装置的零部件及其组成零件应能互相调换。备用零件应该使用与原机零件同样的材料，并且适配于设备装置的同类部件。若使用需经机械加工的零件，有关机械加工要求及允许偏差应以图纸说明并连同指示手册提交建筑师/工程师批准方可采用。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所有转动的部件须在正常运转速度和最大负载情况下，都能达到静、动力学精确平衡要求，并不应产生显著的震动和声响。若震动和声响超出可接受标准，承包单位需提供隔声器和消声器或根据业主指示更换设备以满足噪声管制要求，有关费用由承包单位承担。 </w:t>
      </w:r>
    </w:p>
    <w:p>
      <w:pPr>
        <w:spacing w:after="96" w:line="259" w:lineRule="auto"/>
        <w:ind w:left="272"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所有受尘埃影响而会出现磨损或损坏的零部件，均需完全设于防尘保护罩内。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在实际可行情况下，应避免不同带电性金属互相接触，若无法避免时，须选用电化学位差不超过 250 毫伏的不同金属材料。若此条件不能达到，则其中一种金属或该两种金属的接触面应加以电镀处理，以减少两者之间的电位差，或采用措施把不同金属绝缘。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本合同范围内的全部施工应由熟练的专业技师进行，并应遵照本说明书所述的工艺要求施工。建筑师/工程师有权要求承包单位提交各专业技师的资历作审批。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0"/>
        </w:numPr>
        <w:ind w:right="0" w:hanging="1078"/>
        <w:rPr>
          <w:rFonts w:hint="eastAsia" w:ascii="宋体" w:hAnsi="宋体" w:eastAsia="宋体" w:cs="宋体"/>
          <w:highlight w:val="none"/>
        </w:rPr>
      </w:pPr>
      <w:r>
        <w:rPr>
          <w:rFonts w:hint="eastAsia" w:ascii="宋体" w:hAnsi="宋体" w:eastAsia="宋体" w:cs="宋体"/>
          <w:highlight w:val="none"/>
        </w:rPr>
        <w:t xml:space="preserve">所有组件的安排均应达到方便维修保养及更换的原则。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11.12 </w:t>
      </w:r>
      <w:r>
        <w:rPr>
          <w:rFonts w:hint="eastAsia" w:ascii="宋体" w:hAnsi="宋体" w:eastAsia="宋体" w:cs="宋体"/>
          <w:highlight w:val="none"/>
        </w:rPr>
        <w:tab/>
      </w:r>
      <w:r>
        <w:rPr>
          <w:rFonts w:hint="eastAsia" w:ascii="宋体" w:hAnsi="宋体" w:eastAsia="宋体" w:cs="宋体"/>
          <w:highlight w:val="none"/>
        </w:rPr>
        <w:t xml:space="preserve">工地装配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1"/>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承包单位必须在整个装配期间，提供有经验的员工，负责装配监管。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1"/>
        </w:numPr>
        <w:ind w:right="0" w:hanging="1078"/>
        <w:rPr>
          <w:rFonts w:hint="eastAsia" w:ascii="宋体" w:hAnsi="宋体" w:eastAsia="宋体" w:cs="宋体"/>
          <w:highlight w:val="none"/>
        </w:rPr>
      </w:pPr>
      <w:r>
        <w:rPr>
          <w:rFonts w:hint="eastAsia" w:ascii="宋体" w:hAnsi="宋体" w:eastAsia="宋体" w:cs="宋体"/>
          <w:highlight w:val="none"/>
        </w:rPr>
        <w:t>承包单位必须确保所有焊接点是由有资格的焊工用正确的装置进行。使用焊接设备时须提供充足的防风和防潮保护，并须在工作范围的 2 米以内放置手提灭火器。灭火器在现场需有专人负责，以做到即时灭火，若工程师有要求时，重要的焊接处必须经过非破坏性测试，并把结果记录。所有焊工的有效合格证书必须在开工前呈交建筑师/工程师/结构工程师批准，若焊工不能出</w:t>
      </w:r>
    </w:p>
    <w:p>
      <w:pPr>
        <w:ind w:left="1348" w:right="0"/>
        <w:rPr>
          <w:rFonts w:hint="eastAsia" w:ascii="宋体" w:hAnsi="宋体" w:eastAsia="宋体" w:cs="宋体"/>
          <w:highlight w:val="none"/>
        </w:rPr>
      </w:pPr>
      <w:r>
        <w:rPr>
          <w:rFonts w:hint="eastAsia" w:ascii="宋体" w:hAnsi="宋体" w:eastAsia="宋体" w:cs="宋体"/>
          <w:highlight w:val="none"/>
        </w:rPr>
        <w:t xml:space="preserve">示该证书必须立即离开工地，而所引起的延误由承包单位负责。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1"/>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承包单位必须负责采购、运送和安装起重机、滑轮、系牢物、及其它装配所需要的工具或服务。所使用的起重机及滑轮等工具必须符合安全要求并须在使用前呈交建筑师/工程师批准。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11.13 </w:t>
      </w:r>
      <w:r>
        <w:rPr>
          <w:rFonts w:hint="eastAsia" w:ascii="宋体" w:hAnsi="宋体" w:eastAsia="宋体" w:cs="宋体"/>
          <w:highlight w:val="none"/>
        </w:rPr>
        <w:tab/>
      </w:r>
      <w:r>
        <w:rPr>
          <w:rFonts w:hint="eastAsia" w:ascii="宋体" w:hAnsi="宋体" w:eastAsia="宋体" w:cs="宋体"/>
          <w:highlight w:val="none"/>
        </w:rPr>
        <w:t xml:space="preserve">噪声控制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11.13.1 </w:t>
      </w:r>
      <w:r>
        <w:rPr>
          <w:rFonts w:hint="eastAsia" w:ascii="宋体" w:hAnsi="宋体" w:eastAsia="宋体" w:cs="宋体"/>
          <w:highlight w:val="none"/>
        </w:rPr>
        <w:tab/>
      </w:r>
      <w:r>
        <w:rPr>
          <w:rFonts w:hint="eastAsia" w:ascii="宋体" w:hAnsi="宋体" w:eastAsia="宋体" w:cs="宋体"/>
          <w:highlight w:val="none"/>
        </w:rPr>
        <w:t xml:space="preserve">承包单位须提交一详尽噪声控制保证方案供审批以说明如何实施噪声控制以达到技术规格说明书及 ISO 8041对噪声控制的要求。噪声控制保证方案须包括但不限于下列各项： </w:t>
      </w:r>
    </w:p>
    <w:p>
      <w:pPr>
        <w:numPr>
          <w:ilvl w:val="0"/>
          <w:numId w:val="32"/>
        </w:numPr>
        <w:ind w:right="0" w:hanging="720"/>
        <w:rPr>
          <w:rFonts w:hint="eastAsia" w:ascii="宋体" w:hAnsi="宋体" w:eastAsia="宋体" w:cs="宋体"/>
          <w:highlight w:val="none"/>
        </w:rPr>
      </w:pPr>
      <w:r>
        <w:rPr>
          <w:rFonts w:hint="eastAsia" w:ascii="宋体" w:hAnsi="宋体" w:eastAsia="宋体" w:cs="宋体"/>
          <w:highlight w:val="none"/>
        </w:rPr>
        <w:t xml:space="preserve">对工地土建施工情况进行检查以决定所采取隔震措施的程度和适当位置。 </w:t>
      </w:r>
    </w:p>
    <w:p>
      <w:pPr>
        <w:numPr>
          <w:ilvl w:val="0"/>
          <w:numId w:val="32"/>
        </w:numPr>
        <w:ind w:right="0" w:hanging="720"/>
        <w:rPr>
          <w:rFonts w:hint="eastAsia" w:ascii="宋体" w:hAnsi="宋体" w:eastAsia="宋体" w:cs="宋体"/>
          <w:highlight w:val="none"/>
        </w:rPr>
      </w:pPr>
      <w:r>
        <w:rPr>
          <w:rFonts w:hint="eastAsia" w:ascii="宋体" w:hAnsi="宋体" w:eastAsia="宋体" w:cs="宋体"/>
          <w:highlight w:val="none"/>
        </w:rPr>
        <w:t xml:space="preserve">对某些施工图已提供消声及减震措施仍然无法达到噪声控制要求的地方，提供设计及建议解决方法。如建议需对原措施作出改动，需把建议连同设计数据提交审批，以证明整个系统能达到噪声控制要求。待建议获得审批后，方可进行施工。 </w:t>
      </w:r>
    </w:p>
    <w:p>
      <w:pPr>
        <w:numPr>
          <w:ilvl w:val="0"/>
          <w:numId w:val="32"/>
        </w:numPr>
        <w:spacing w:after="5" w:line="255" w:lineRule="auto"/>
        <w:ind w:right="0" w:hanging="720"/>
        <w:rPr>
          <w:rFonts w:hint="eastAsia" w:ascii="宋体" w:hAnsi="宋体" w:eastAsia="宋体" w:cs="宋体"/>
          <w:highlight w:val="none"/>
        </w:rPr>
      </w:pPr>
      <w:r>
        <w:rPr>
          <w:rFonts w:hint="eastAsia" w:ascii="宋体" w:hAnsi="宋体" w:eastAsia="宋体" w:cs="宋体"/>
          <w:highlight w:val="none"/>
        </w:rPr>
        <w:t xml:space="preserve">对所有固定声源应作出考虑及安排，使所量度得的声量较有关规定低 5 分贝。此外所有系统同时运作的总声量包括设备重新起动的声响、突发性声响及经结构传递的声响等均符合有关规定要求。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11.13.2 </w:t>
      </w:r>
      <w:r>
        <w:rPr>
          <w:rFonts w:hint="eastAsia" w:ascii="宋体" w:hAnsi="宋体" w:eastAsia="宋体" w:cs="宋体"/>
          <w:highlight w:val="none"/>
        </w:rPr>
        <w:tab/>
      </w:r>
      <w:r>
        <w:rPr>
          <w:rFonts w:hint="eastAsia" w:ascii="宋体" w:hAnsi="宋体" w:eastAsia="宋体" w:cs="宋体"/>
          <w:highlight w:val="none"/>
        </w:rPr>
        <w:t>进行系统试运行时，应同时于室内及室外进行声量的量度工作。提交测量报告以证明所采取的消声和减震措施均可接受。报告应包括环保局的批核证明。</w:t>
      </w:r>
    </w:p>
    <w:p>
      <w:pPr>
        <w:ind w:left="1348" w:right="0"/>
        <w:rPr>
          <w:rFonts w:hint="eastAsia" w:ascii="宋体" w:hAnsi="宋体" w:eastAsia="宋体" w:cs="宋体"/>
          <w:highlight w:val="none"/>
        </w:rPr>
      </w:pPr>
      <w:r>
        <w:rPr>
          <w:rFonts w:hint="eastAsia" w:ascii="宋体" w:hAnsi="宋体" w:eastAsia="宋体" w:cs="宋体"/>
          <w:highlight w:val="none"/>
        </w:rPr>
        <w:t xml:space="preserve">量度噪声的方法应按有关规定要求进行。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11.13.3 </w:t>
      </w:r>
      <w:r>
        <w:rPr>
          <w:rFonts w:hint="eastAsia" w:ascii="宋体" w:hAnsi="宋体" w:eastAsia="宋体" w:cs="宋体"/>
          <w:highlight w:val="none"/>
        </w:rPr>
        <w:tab/>
      </w:r>
      <w:r>
        <w:rPr>
          <w:rFonts w:hint="eastAsia" w:ascii="宋体" w:hAnsi="宋体" w:eastAsia="宋体" w:cs="宋体"/>
          <w:highlight w:val="none"/>
        </w:rPr>
        <w:t xml:space="preserve">若所安装的系统或消声和减震措施未能达到环保局或本技术规格说明书的要求，承包单位需对系统或消声和减震措施进行整改工作以达至符合要求为止，有关费用由承包单位负责。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11.14 </w:t>
      </w:r>
      <w:r>
        <w:rPr>
          <w:rFonts w:hint="eastAsia" w:ascii="宋体" w:hAnsi="宋体" w:eastAsia="宋体" w:cs="宋体"/>
          <w:highlight w:val="none"/>
        </w:rPr>
        <w:tab/>
      </w:r>
      <w:r>
        <w:rPr>
          <w:rFonts w:hint="eastAsia" w:ascii="宋体" w:hAnsi="宋体" w:eastAsia="宋体" w:cs="宋体"/>
          <w:highlight w:val="none"/>
        </w:rPr>
        <w:t xml:space="preserve">安全设施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33"/>
        </w:numPr>
        <w:spacing w:after="3" w:line="256" w:lineRule="auto"/>
        <w:ind w:right="47" w:hanging="1078"/>
        <w:rPr>
          <w:rFonts w:hint="eastAsia" w:ascii="宋体" w:hAnsi="宋体" w:eastAsia="宋体" w:cs="宋体"/>
          <w:highlight w:val="none"/>
        </w:rPr>
      </w:pPr>
      <w:r>
        <w:rPr>
          <w:rFonts w:hint="eastAsia" w:ascii="宋体" w:hAnsi="宋体" w:eastAsia="宋体" w:cs="宋体"/>
          <w:highlight w:val="none"/>
        </w:rPr>
        <w:t xml:space="preserve">临时安全设施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承包单位须与总包签订安全协议，还应按安全协议要求交付安全保证金，并完全遵守有关协议内容。在施工期间，承包单位须对其安装的任何转动机件提供足够的临时安全设施。同时若承包单位的工作地方位于总承包单位所负责的范围外时，所有会对工作人员及其它人员构成危险的地台/墙壁孔洞都须提供足够的安全保护设施。 </w:t>
      </w:r>
    </w:p>
    <w:p>
      <w:pPr>
        <w:ind w:left="1348" w:right="0"/>
        <w:rPr>
          <w:rFonts w:hint="eastAsia" w:ascii="宋体" w:hAnsi="宋体" w:eastAsia="宋体" w:cs="宋体"/>
          <w:highlight w:val="none"/>
        </w:rPr>
      </w:pPr>
    </w:p>
    <w:p>
      <w:pPr>
        <w:numPr>
          <w:ilvl w:val="2"/>
          <w:numId w:val="33"/>
        </w:numPr>
        <w:ind w:right="47" w:hanging="1078"/>
        <w:rPr>
          <w:rFonts w:hint="eastAsia" w:ascii="宋体" w:hAnsi="宋体" w:eastAsia="宋体" w:cs="宋体"/>
          <w:highlight w:val="none"/>
        </w:rPr>
      </w:pPr>
      <w:r>
        <w:rPr>
          <w:rFonts w:hint="eastAsia" w:ascii="宋体" w:hAnsi="宋体" w:eastAsia="宋体" w:cs="宋体"/>
          <w:highlight w:val="none"/>
        </w:rPr>
        <w:t xml:space="preserve">永久性的安全设施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承包单位应对其安装的任何转动或摆动的机件，如电动机驱动轴等，提供防护网或可移动的防护围杆。有关安全装置的设计和制造，应符合当地的安全</w:t>
      </w:r>
    </w:p>
    <w:p>
      <w:pPr>
        <w:tabs>
          <w:tab w:val="center" w:pos="3993"/>
          <w:tab w:val="center" w:pos="9513"/>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条例，还必须满足机电验收要求及消防验收要求。 </w:t>
      </w:r>
    </w:p>
    <w:p>
      <w:pPr>
        <w:tabs>
          <w:tab w:val="center" w:pos="3993"/>
          <w:tab w:val="center" w:pos="9513"/>
        </w:tabs>
        <w:ind w:left="0" w:right="0" w:firstLine="0"/>
        <w:rPr>
          <w:rFonts w:hint="eastAsia" w:ascii="宋体" w:hAnsi="宋体" w:eastAsia="宋体" w:cs="宋体"/>
          <w:highlight w:val="none"/>
        </w:rPr>
      </w:pPr>
      <w:r>
        <w:rPr>
          <w:rFonts w:hint="eastAsia" w:ascii="宋体" w:hAnsi="宋体" w:eastAsia="宋体" w:cs="宋体"/>
          <w:highlight w:val="none"/>
        </w:rPr>
        <w:tab/>
      </w: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3" w:name="_Toc13665"/>
      <w:r>
        <w:rPr>
          <w:rFonts w:hint="eastAsia" w:ascii="宋体" w:hAnsi="宋体" w:eastAsia="宋体" w:cs="宋体"/>
          <w:b/>
          <w:bCs/>
          <w:highlight w:val="none"/>
        </w:rPr>
        <w:t>送审及审批</w:t>
      </w:r>
      <w:bookmarkEnd w:id="13"/>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12.1 </w:t>
      </w:r>
      <w:r>
        <w:rPr>
          <w:rFonts w:hint="eastAsia" w:ascii="宋体" w:hAnsi="宋体" w:eastAsia="宋体" w:cs="宋体"/>
          <w:highlight w:val="none"/>
        </w:rPr>
        <w:tab/>
      </w:r>
      <w:r>
        <w:rPr>
          <w:rFonts w:hint="eastAsia" w:ascii="宋体" w:hAnsi="宋体" w:eastAsia="宋体" w:cs="宋体"/>
          <w:highlight w:val="none"/>
        </w:rPr>
        <w:t xml:space="preserve">承包单位所需要提交业主/建筑师/工程师审批的所有文件，包括图纸、设备材料、技术资料及工地指令，承包单位需预留不少于 15 个工作日给业主/建筑师/工程师作审批，需重审的文件，承包单位需须留不少于 10 个工作日给业主/建筑师/工程师作审批。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12.2 </w:t>
      </w:r>
      <w:r>
        <w:rPr>
          <w:rFonts w:hint="eastAsia" w:ascii="宋体" w:hAnsi="宋体" w:eastAsia="宋体" w:cs="宋体"/>
          <w:highlight w:val="none"/>
        </w:rPr>
        <w:tab/>
      </w:r>
      <w:r>
        <w:rPr>
          <w:rFonts w:hint="eastAsia" w:ascii="宋体" w:hAnsi="宋体" w:eastAsia="宋体" w:cs="宋体"/>
          <w:highlight w:val="none"/>
        </w:rPr>
        <w:t xml:space="preserve">承包单位所提交送审的文件，经评审后，会列明有关要求及意见，并且标明以下审批状况。 </w:t>
      </w:r>
    </w:p>
    <w:p>
      <w:pPr>
        <w:spacing w:after="4"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3687" w:right="0" w:hanging="2226"/>
        <w:rPr>
          <w:rFonts w:hint="eastAsia" w:ascii="宋体" w:hAnsi="宋体" w:eastAsia="宋体" w:cs="宋体"/>
          <w:highlight w:val="none"/>
        </w:rPr>
      </w:pPr>
      <w:r>
        <w:rPr>
          <w:rFonts w:hint="eastAsia" w:ascii="宋体" w:hAnsi="宋体" w:eastAsia="宋体" w:cs="宋体"/>
          <w:highlight w:val="none"/>
        </w:rPr>
        <w:t xml:space="preserve">“状况 A” — 没有意见或反对。如达到审批 “状况A”，承包单位需提交最终版的文件并标上或盖上 “施工用” 给于业主。 </w:t>
      </w:r>
    </w:p>
    <w:p>
      <w:pPr>
        <w:spacing w:after="69" w:line="259" w:lineRule="auto"/>
        <w:ind w:left="1461" w:right="0" w:firstLine="0"/>
        <w:rPr>
          <w:rFonts w:hint="eastAsia" w:ascii="宋体" w:hAnsi="宋体" w:eastAsia="宋体" w:cs="宋体"/>
          <w:highlight w:val="none"/>
        </w:rPr>
      </w:pPr>
      <w:r>
        <w:rPr>
          <w:rFonts w:hint="eastAsia" w:ascii="宋体" w:hAnsi="宋体" w:eastAsia="宋体" w:cs="宋体"/>
          <w:sz w:val="18"/>
          <w:highlight w:val="none"/>
        </w:rPr>
        <w:t xml:space="preserve"> </w:t>
      </w:r>
      <w:r>
        <w:rPr>
          <w:rFonts w:hint="eastAsia" w:ascii="宋体" w:hAnsi="宋体" w:eastAsia="宋体" w:cs="宋体"/>
          <w:sz w:val="18"/>
          <w:highlight w:val="none"/>
        </w:rPr>
        <w:tab/>
      </w:r>
      <w:r>
        <w:rPr>
          <w:rFonts w:hint="eastAsia" w:ascii="宋体" w:hAnsi="宋体" w:eastAsia="宋体" w:cs="宋体"/>
          <w:sz w:val="18"/>
          <w:highlight w:val="none"/>
        </w:rPr>
        <w:t xml:space="preserve"> </w:t>
      </w:r>
      <w:r>
        <w:rPr>
          <w:rFonts w:hint="eastAsia" w:ascii="宋体" w:hAnsi="宋体" w:eastAsia="宋体" w:cs="宋体"/>
          <w:sz w:val="18"/>
          <w:highlight w:val="none"/>
        </w:rPr>
        <w:tab/>
      </w:r>
      <w:r>
        <w:rPr>
          <w:rFonts w:hint="eastAsia" w:ascii="宋体" w:hAnsi="宋体" w:eastAsia="宋体" w:cs="宋体"/>
          <w:sz w:val="18"/>
          <w:highlight w:val="none"/>
        </w:rPr>
        <w:t xml:space="preserve"> </w:t>
      </w:r>
    </w:p>
    <w:p>
      <w:pPr>
        <w:ind w:left="3687" w:right="0" w:hanging="2226"/>
        <w:rPr>
          <w:rFonts w:hint="eastAsia" w:ascii="宋体" w:hAnsi="宋体" w:eastAsia="宋体" w:cs="宋体"/>
          <w:highlight w:val="none"/>
        </w:rPr>
      </w:pPr>
      <w:r>
        <w:rPr>
          <w:rFonts w:hint="eastAsia" w:ascii="宋体" w:hAnsi="宋体" w:eastAsia="宋体" w:cs="宋体"/>
          <w:highlight w:val="none"/>
        </w:rPr>
        <w:t xml:space="preserve">“状况 B” — 接收所提交的文件图纸，但承包单位要跟从有关意见作修改。承包单位需修改有关文件/图纸及再送审作下一步审批。 </w:t>
      </w:r>
    </w:p>
    <w:p>
      <w:pPr>
        <w:spacing w:after="69" w:line="259" w:lineRule="auto"/>
        <w:ind w:left="1461" w:right="0" w:firstLine="0"/>
        <w:rPr>
          <w:rFonts w:hint="eastAsia" w:ascii="宋体" w:hAnsi="宋体" w:eastAsia="宋体" w:cs="宋体"/>
          <w:highlight w:val="none"/>
        </w:rPr>
      </w:pPr>
      <w:r>
        <w:rPr>
          <w:rFonts w:hint="eastAsia" w:ascii="宋体" w:hAnsi="宋体" w:eastAsia="宋体" w:cs="宋体"/>
          <w:sz w:val="18"/>
          <w:highlight w:val="none"/>
        </w:rPr>
        <w:t xml:space="preserve"> </w:t>
      </w:r>
      <w:r>
        <w:rPr>
          <w:rFonts w:hint="eastAsia" w:ascii="宋体" w:hAnsi="宋体" w:eastAsia="宋体" w:cs="宋体"/>
          <w:sz w:val="18"/>
          <w:highlight w:val="none"/>
        </w:rPr>
        <w:tab/>
      </w:r>
      <w:r>
        <w:rPr>
          <w:rFonts w:hint="eastAsia" w:ascii="宋体" w:hAnsi="宋体" w:eastAsia="宋体" w:cs="宋体"/>
          <w:sz w:val="18"/>
          <w:highlight w:val="none"/>
        </w:rPr>
        <w:t xml:space="preserve"> </w:t>
      </w:r>
      <w:r>
        <w:rPr>
          <w:rFonts w:hint="eastAsia" w:ascii="宋体" w:hAnsi="宋体" w:eastAsia="宋体" w:cs="宋体"/>
          <w:sz w:val="18"/>
          <w:highlight w:val="none"/>
        </w:rPr>
        <w:tab/>
      </w:r>
      <w:r>
        <w:rPr>
          <w:rFonts w:hint="eastAsia" w:ascii="宋体" w:hAnsi="宋体" w:eastAsia="宋体" w:cs="宋体"/>
          <w:sz w:val="18"/>
          <w:highlight w:val="none"/>
        </w:rPr>
        <w:t xml:space="preserve"> </w:t>
      </w:r>
    </w:p>
    <w:p>
      <w:pPr>
        <w:ind w:left="1471" w:right="0"/>
        <w:rPr>
          <w:rFonts w:hint="eastAsia" w:ascii="宋体" w:hAnsi="宋体" w:eastAsia="宋体" w:cs="宋体"/>
          <w:highlight w:val="none"/>
        </w:rPr>
      </w:pPr>
      <w:r>
        <w:rPr>
          <w:rFonts w:hint="eastAsia" w:ascii="宋体" w:hAnsi="宋体" w:eastAsia="宋体" w:cs="宋体"/>
          <w:highlight w:val="none"/>
        </w:rPr>
        <w:t xml:space="preserve">“状况 C” — 不接收所提交的文件/图纸，承包单位需修改及再提交审批。所有提交的文件/图纸如在 “状况 C”，有关的工作，制造或材料都不能开始工作或订购。 </w:t>
      </w:r>
    </w:p>
    <w:p>
      <w:pPr>
        <w:spacing w:after="23" w:line="259" w:lineRule="auto"/>
        <w:ind w:left="1461"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p>
    <w:p>
      <w:pPr>
        <w:spacing w:after="65"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12.3 </w:t>
      </w:r>
      <w:r>
        <w:rPr>
          <w:rFonts w:hint="eastAsia" w:ascii="宋体" w:hAnsi="宋体" w:eastAsia="宋体" w:cs="宋体"/>
          <w:highlight w:val="none"/>
        </w:rPr>
        <w:tab/>
      </w:r>
      <w:r>
        <w:rPr>
          <w:rFonts w:hint="eastAsia" w:ascii="宋体" w:hAnsi="宋体" w:eastAsia="宋体" w:cs="宋体"/>
          <w:highlight w:val="none"/>
        </w:rPr>
        <w:t xml:space="preserve">业主/业主代表的审批有以下的限制 </w:t>
      </w:r>
    </w:p>
    <w:p>
      <w:pPr>
        <w:spacing w:after="65" w:line="259" w:lineRule="auto"/>
        <w:ind w:left="1353" w:right="0" w:firstLine="0"/>
        <w:rPr>
          <w:rFonts w:hint="eastAsia" w:ascii="宋体" w:hAnsi="宋体" w:eastAsia="宋体" w:cs="宋体"/>
          <w:highlight w:val="none"/>
        </w:rPr>
      </w:pPr>
      <w:r>
        <w:rPr>
          <w:rFonts w:hint="eastAsia" w:ascii="宋体" w:hAnsi="宋体" w:eastAsia="宋体" w:cs="宋体"/>
          <w:sz w:val="18"/>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12.3.1</w:t>
      </w:r>
      <w:r>
        <w:rPr>
          <w:rFonts w:hint="eastAsia" w:ascii="宋体" w:hAnsi="宋体" w:eastAsia="宋体" w:cs="宋体"/>
          <w:highlight w:val="none"/>
        </w:rPr>
        <w:tab/>
      </w:r>
      <w:r>
        <w:rPr>
          <w:rFonts w:hint="eastAsia" w:ascii="宋体" w:hAnsi="宋体" w:eastAsia="宋体" w:cs="宋体"/>
          <w:highlight w:val="none"/>
        </w:rPr>
        <w:t xml:space="preserve">对有关承包单位所提交的样本或材料或施工方法需根据本技术规格说明书的要求，不应解释为业主/业主代表所表示对材料的使用或工作的执行的满意程度。承包单位需要对使用的适当材料及方法负上责任。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12.3.2 </w:t>
      </w:r>
      <w:r>
        <w:rPr>
          <w:rFonts w:hint="eastAsia" w:ascii="宋体" w:hAnsi="宋体" w:eastAsia="宋体" w:cs="宋体"/>
          <w:highlight w:val="none"/>
        </w:rPr>
        <w:tab/>
      </w:r>
      <w:r>
        <w:rPr>
          <w:rFonts w:hint="eastAsia" w:ascii="宋体" w:hAnsi="宋体" w:eastAsia="宋体" w:cs="宋体"/>
          <w:highlight w:val="none"/>
        </w:rPr>
        <w:t xml:space="preserve">有关本技术规格说明书所提及或承包单位所建议的图纸或设计文件或方案，只是对设计概念及在合约文件内的设计资料以及在后期指令的响应。 </w:t>
      </w:r>
    </w:p>
    <w:p>
      <w:pPr>
        <w:spacing w:after="4"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12.3.3 </w:t>
      </w:r>
      <w:r>
        <w:rPr>
          <w:rFonts w:hint="eastAsia" w:ascii="宋体" w:hAnsi="宋体" w:eastAsia="宋体" w:cs="宋体"/>
          <w:highlight w:val="none"/>
        </w:rPr>
        <w:tab/>
      </w:r>
      <w:r>
        <w:rPr>
          <w:rFonts w:hint="eastAsia" w:ascii="宋体" w:hAnsi="宋体" w:eastAsia="宋体" w:cs="宋体"/>
          <w:highlight w:val="none"/>
        </w:rPr>
        <w:t xml:space="preserve">“审批”的条款只是方便认别，承包单位需意识到任何审批也不能解除合约文件所列明承包单位的责任及职责，任何附加的文件，图纸或送审的文件而获得审批 “状况 A”，承包单位不应假设为审查已符合合约的文件或图纸，承包单位仍然保留有关责任去确保工作是根据合约文件或图纸，技术规格说明书及后期的指令的要求完成。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承包单位不可因为提交合约所需的不完整及不正确的资料而引致延迟，加速，指令的取消或任何其它需重新提交的数据而索偿。 </w:t>
      </w:r>
      <w:r>
        <w:rPr>
          <w:rFonts w:hint="eastAsia" w:ascii="宋体" w:hAnsi="宋体" w:eastAsia="宋体" w:cs="宋体"/>
          <w:highlight w:val="none"/>
        </w:rPr>
        <w:tab/>
      </w:r>
    </w:p>
    <w:p>
      <w:pPr>
        <w:ind w:left="1348" w:right="0"/>
        <w:rPr>
          <w:rFonts w:hint="eastAsia" w:ascii="宋体" w:hAnsi="宋体" w:eastAsia="宋体" w:cs="宋体"/>
          <w:highlight w:val="none"/>
        </w:rPr>
      </w:pPr>
    </w:p>
    <w:p>
      <w:pPr>
        <w:pStyle w:val="2"/>
        <w:ind w:left="1350" w:right="0" w:hanging="1078"/>
        <w:rPr>
          <w:rFonts w:hint="eastAsia" w:ascii="宋体" w:hAnsi="宋体" w:eastAsia="宋体" w:cs="宋体"/>
          <w:highlight w:val="none"/>
        </w:rPr>
      </w:pPr>
      <w:bookmarkStart w:id="14" w:name="_Toc1559"/>
      <w:r>
        <w:rPr>
          <w:rFonts w:hint="eastAsia" w:ascii="宋体" w:hAnsi="宋体" w:eastAsia="宋体" w:cs="宋体"/>
          <w:highlight w:val="none"/>
        </w:rPr>
        <w:t>工程进度计划表</w:t>
      </w:r>
      <w:bookmarkEnd w:id="14"/>
      <w:r>
        <w:rPr>
          <w:rFonts w:hint="eastAsia" w:ascii="宋体" w:hAnsi="宋体" w:eastAsia="宋体" w:cs="宋体"/>
          <w:b/>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13.1 </w:t>
      </w:r>
      <w:r>
        <w:rPr>
          <w:rFonts w:hint="eastAsia" w:ascii="宋体" w:hAnsi="宋体" w:eastAsia="宋体" w:cs="宋体"/>
          <w:highlight w:val="none"/>
        </w:rPr>
        <w:tab/>
      </w:r>
      <w:r>
        <w:rPr>
          <w:rFonts w:hint="eastAsia" w:ascii="宋体" w:hAnsi="宋体" w:eastAsia="宋体" w:cs="宋体"/>
          <w:highlight w:val="none"/>
        </w:rPr>
        <w:t xml:space="preserve">承包单位须在呈投交标书时提交一简单的施工程序和进度计划表，而在正式书面获知中标后两星期内再呈交予建筑师/工程师一份详尽的工作进度计划表作审批。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13.2 </w:t>
      </w:r>
      <w:r>
        <w:rPr>
          <w:rFonts w:hint="eastAsia" w:ascii="宋体" w:hAnsi="宋体" w:eastAsia="宋体" w:cs="宋体"/>
          <w:highlight w:val="none"/>
        </w:rPr>
        <w:tab/>
      </w:r>
      <w:r>
        <w:rPr>
          <w:rFonts w:hint="eastAsia" w:ascii="宋体" w:hAnsi="宋体" w:eastAsia="宋体" w:cs="宋体"/>
          <w:highlight w:val="none"/>
        </w:rPr>
        <w:t xml:space="preserve">承包单位的工作进度计划应与总承包单位的工作进度计划协调，并须配合总承包合同分期进行的工作进度要求。进度计划表应把各项工序的计划反映并应包括以下内容：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管理人员进驻工地；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所有设计图纸、样品和设备送审预算，以及施工方案的送审；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送有关政府部门审批的施工图纸和设备；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设备的订购；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设备的生产制造；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设备从原产地运送至工地；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设备的安装方法、程序以及各细项工序所耗用的时间；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测试和验收； </w:t>
      </w:r>
    </w:p>
    <w:p>
      <w:pPr>
        <w:numPr>
          <w:ilvl w:val="0"/>
          <w:numId w:val="34"/>
        </w:numPr>
        <w:ind w:right="0" w:hanging="540"/>
        <w:rPr>
          <w:rFonts w:hint="eastAsia" w:ascii="宋体" w:hAnsi="宋体" w:eastAsia="宋体" w:cs="宋体"/>
          <w:highlight w:val="none"/>
        </w:rPr>
      </w:pPr>
      <w:r>
        <w:rPr>
          <w:rFonts w:hint="eastAsia" w:ascii="宋体" w:hAnsi="宋体" w:eastAsia="宋体" w:cs="宋体"/>
          <w:highlight w:val="none"/>
        </w:rPr>
        <w:t xml:space="preserve">移交。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由承包单位所提交并经总承包及各方面接受的进度计划表将纳入于本工程的总进度表内。承包单位须按照有关进度计划表进行施工。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承包单位应按指示立刻展开工作，并应持高度合作及积极态度以配合总进度计划表的工作安排。承包单位应注意工作效率和速度的重要性，并必须紧密地配合总承包单位所订下的工作进度计划。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总进度计划表的安排并不保证承包单位能按所定进度连续不断地进行施工，假若因按实际施工情况而需对有关总进度计划表作出修改时，承包单位须予以配合及不能为此而作出任何的索偿。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承包单位应在任何阶段与总承包单位及其它承包单位合作。同时，在施工过程中应不断按实际情况考虑其它承包单位或专业承包单位的需要而对施工计划作出修订并可以配合实际施工进度。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有关工地的建筑活动中，承包单位须负责联络及协调其它承包单位。这些责任包括交换和获得所有适用的数据、标准及资料等以便有效及迅速地执行工作。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承包单位必须参与所有由建筑师/工程师或总承包单位主持的工程例会及任何联络会议。 </w:t>
      </w:r>
    </w:p>
    <w:p>
      <w:pPr>
        <w:spacing w:after="3"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承包单位须预备有关资料包括图纸呈交公用事业机构及/中国法定机构批准。送审图纸须以中文书写。若因缺乏与上述机构沟通，导致返工的费用及工期延期的责任由承包单位负责。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承包单位须负责联络所有相关的公共事业机构及中国法定机构，以获得有关</w:t>
      </w:r>
    </w:p>
    <w:p>
      <w:pPr>
        <w:ind w:left="1348" w:right="0"/>
        <w:rPr>
          <w:rFonts w:hint="eastAsia" w:ascii="宋体" w:hAnsi="宋体" w:eastAsia="宋体" w:cs="宋体"/>
          <w:highlight w:val="none"/>
        </w:rPr>
      </w:pPr>
      <w:r>
        <w:rPr>
          <w:rFonts w:hint="eastAsia" w:ascii="宋体" w:hAnsi="宋体" w:eastAsia="宋体" w:cs="宋体"/>
          <w:highlight w:val="none"/>
        </w:rPr>
        <w:t xml:space="preserve">的批准或牌照许可证，使合约内的机电系统能按时投入服务。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承包单位在设备订货时，必须要求设备供应单位作出如下书面承诺，应同意在保修期结束前，对业主要求作维修保养的设备提供日夜二十四小时随传随到的紧急维修服务。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1"/>
          <w:numId w:val="35"/>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承包单位不能因为上述项目，而减轻监察工厂进度或减少承包单位在合约中的责任。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5" w:name="_Toc15156"/>
      <w:r>
        <w:rPr>
          <w:rFonts w:hint="eastAsia" w:ascii="宋体" w:hAnsi="宋体" w:eastAsia="宋体" w:cs="宋体"/>
          <w:b/>
          <w:bCs/>
          <w:highlight w:val="none"/>
        </w:rPr>
        <w:t>施工组织方案</w:t>
      </w:r>
      <w:bookmarkEnd w:id="15"/>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14.1 </w:t>
      </w:r>
      <w:r>
        <w:rPr>
          <w:rFonts w:hint="eastAsia" w:ascii="宋体" w:hAnsi="宋体" w:eastAsia="宋体" w:cs="宋体"/>
          <w:highlight w:val="none"/>
        </w:rPr>
        <w:tab/>
      </w:r>
      <w:r>
        <w:rPr>
          <w:rFonts w:hint="eastAsia" w:ascii="宋体" w:hAnsi="宋体" w:eastAsia="宋体" w:cs="宋体"/>
          <w:highlight w:val="none"/>
        </w:rPr>
        <w:t xml:space="preserve">承包单位于获得本合同后或获得通知中标后两星期内应提交工地组织纲要作审批。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14.2 </w:t>
      </w:r>
      <w:r>
        <w:rPr>
          <w:rFonts w:hint="eastAsia" w:ascii="宋体" w:hAnsi="宋体" w:eastAsia="宋体" w:cs="宋体"/>
          <w:highlight w:val="none"/>
        </w:rPr>
        <w:tab/>
      </w:r>
      <w:r>
        <w:rPr>
          <w:rFonts w:hint="eastAsia" w:ascii="宋体" w:hAnsi="宋体" w:eastAsia="宋体" w:cs="宋体"/>
          <w:highlight w:val="none"/>
        </w:rPr>
        <w:t xml:space="preserve">承包单位工程操作上之组织架构应严谨编制，并由合格、富有经验的各专业人员分工领导，以求达到最佳之协调及施工效果。工地组织纲要须包括各职位之长驻工地主管人员。有关的主管人员名单及履历，需呈交建筑师/工程师评审及认可。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spacing w:after="246"/>
        <w:ind w:left="1350" w:right="0" w:hanging="1078"/>
        <w:rPr>
          <w:rFonts w:hint="eastAsia" w:ascii="宋体" w:hAnsi="宋体" w:eastAsia="宋体" w:cs="宋体"/>
          <w:b/>
          <w:bCs/>
          <w:highlight w:val="none"/>
        </w:rPr>
      </w:pPr>
      <w:bookmarkStart w:id="16" w:name="_Toc3027"/>
      <w:r>
        <w:rPr>
          <w:rFonts w:hint="eastAsia" w:ascii="宋体" w:hAnsi="宋体" w:eastAsia="宋体" w:cs="宋体"/>
          <w:b/>
          <w:bCs/>
          <w:highlight w:val="none"/>
        </w:rPr>
        <w:t>施工安全专项方案</w:t>
      </w:r>
      <w:bookmarkEnd w:id="16"/>
      <w:r>
        <w:rPr>
          <w:rFonts w:hint="eastAsia" w:ascii="宋体" w:hAnsi="宋体" w:eastAsia="宋体" w:cs="宋体"/>
          <w:b/>
          <w:bCs/>
          <w:highlight w:val="none"/>
        </w:rPr>
        <w:t xml:space="preserve"> </w:t>
      </w:r>
    </w:p>
    <w:p>
      <w:pPr>
        <w:spacing w:after="244"/>
        <w:ind w:left="282" w:right="0"/>
        <w:rPr>
          <w:rFonts w:hint="eastAsia" w:ascii="宋体" w:hAnsi="宋体" w:eastAsia="宋体" w:cs="宋体"/>
          <w:highlight w:val="none"/>
        </w:rPr>
      </w:pPr>
      <w:r>
        <w:rPr>
          <w:rFonts w:hint="eastAsia" w:ascii="宋体" w:hAnsi="宋体" w:eastAsia="宋体" w:cs="宋体"/>
          <w:highlight w:val="none"/>
        </w:rPr>
        <w:t xml:space="preserve">15.1 </w:t>
      </w:r>
      <w:r>
        <w:rPr>
          <w:rFonts w:hint="eastAsia" w:ascii="宋体" w:hAnsi="宋体" w:eastAsia="宋体" w:cs="宋体"/>
          <w:highlight w:val="none"/>
        </w:rPr>
        <w:tab/>
      </w:r>
      <w:r>
        <w:rPr>
          <w:rFonts w:hint="eastAsia" w:ascii="宋体" w:hAnsi="宋体" w:eastAsia="宋体" w:cs="宋体"/>
          <w:highlight w:val="none"/>
        </w:rPr>
        <w:t xml:space="preserve">健康安全及保证 </w:t>
      </w:r>
    </w:p>
    <w:p>
      <w:pPr>
        <w:spacing w:after="252"/>
        <w:ind w:left="1350" w:right="0" w:hanging="1078"/>
        <w:rPr>
          <w:rFonts w:hint="eastAsia" w:ascii="宋体" w:hAnsi="宋体" w:eastAsia="宋体" w:cs="宋体"/>
          <w:highlight w:val="none"/>
        </w:rPr>
      </w:pPr>
      <w:r>
        <w:rPr>
          <w:rFonts w:hint="eastAsia" w:ascii="宋体" w:hAnsi="宋体" w:eastAsia="宋体" w:cs="宋体"/>
          <w:highlight w:val="none"/>
        </w:rPr>
        <w:t xml:space="preserve">15.1.1 </w:t>
      </w:r>
      <w:r>
        <w:rPr>
          <w:rFonts w:hint="eastAsia" w:ascii="宋体" w:hAnsi="宋体" w:eastAsia="宋体" w:cs="宋体"/>
          <w:highlight w:val="none"/>
        </w:rPr>
        <w:tab/>
      </w:r>
      <w:r>
        <w:rPr>
          <w:rFonts w:hint="eastAsia" w:ascii="宋体" w:hAnsi="宋体" w:eastAsia="宋体" w:cs="宋体"/>
          <w:highlight w:val="none"/>
        </w:rPr>
        <w:t xml:space="preserve">承包单位须负责有关施工地点的安全以避免引起相关的损失，这包括一切工作人员，其下承包单位及其员工，公众人士及所有直接或间接与施工地点有关人士等。 </w:t>
      </w:r>
    </w:p>
    <w:p>
      <w:pPr>
        <w:spacing w:after="248"/>
        <w:ind w:left="282" w:right="0"/>
        <w:rPr>
          <w:rFonts w:hint="eastAsia" w:ascii="宋体" w:hAnsi="宋体" w:eastAsia="宋体" w:cs="宋体"/>
          <w:highlight w:val="none"/>
        </w:rPr>
      </w:pPr>
      <w:r>
        <w:rPr>
          <w:rFonts w:hint="eastAsia" w:ascii="宋体" w:hAnsi="宋体" w:eastAsia="宋体" w:cs="宋体"/>
          <w:highlight w:val="none"/>
        </w:rPr>
        <w:t xml:space="preserve">15.1.2 </w:t>
      </w:r>
      <w:r>
        <w:rPr>
          <w:rFonts w:hint="eastAsia" w:ascii="宋体" w:hAnsi="宋体" w:eastAsia="宋体" w:cs="宋体"/>
          <w:highlight w:val="none"/>
        </w:rPr>
        <w:tab/>
      </w:r>
      <w:r>
        <w:rPr>
          <w:rFonts w:hint="eastAsia" w:ascii="宋体" w:hAnsi="宋体" w:eastAsia="宋体" w:cs="宋体"/>
          <w:highlight w:val="none"/>
        </w:rPr>
        <w:t xml:space="preserve">按有关法例要求，承包单位须负责提交报告，发出通知及信息给政府部门。 </w:t>
      </w:r>
    </w:p>
    <w:p>
      <w:pPr>
        <w:spacing w:after="248"/>
        <w:ind w:left="1350" w:right="0" w:hanging="1078"/>
        <w:rPr>
          <w:rFonts w:hint="eastAsia" w:ascii="宋体" w:hAnsi="宋体" w:eastAsia="宋体" w:cs="宋体"/>
          <w:highlight w:val="none"/>
        </w:rPr>
      </w:pPr>
      <w:r>
        <w:rPr>
          <w:rFonts w:hint="eastAsia" w:ascii="宋体" w:hAnsi="宋体" w:eastAsia="宋体" w:cs="宋体"/>
          <w:highlight w:val="none"/>
        </w:rPr>
        <w:t xml:space="preserve">15.1.3 </w:t>
      </w:r>
      <w:r>
        <w:rPr>
          <w:rFonts w:hint="eastAsia" w:ascii="宋体" w:hAnsi="宋体" w:eastAsia="宋体" w:cs="宋体"/>
          <w:highlight w:val="none"/>
        </w:rPr>
        <w:tab/>
      </w:r>
      <w:r>
        <w:rPr>
          <w:rFonts w:hint="eastAsia" w:ascii="宋体" w:hAnsi="宋体" w:eastAsia="宋体" w:cs="宋体"/>
          <w:highlight w:val="none"/>
        </w:rPr>
        <w:t xml:space="preserve">承包单位须确保其下承包单位施工地点的所有职级员工须遵守政府部门的安全守则，合约文件的要求及承包单位的健康安全计划文件。 </w:t>
      </w:r>
    </w:p>
    <w:p>
      <w:pPr>
        <w:spacing w:after="248"/>
        <w:ind w:left="1350" w:right="0" w:hanging="1078"/>
        <w:rPr>
          <w:rFonts w:hint="eastAsia" w:ascii="宋体" w:hAnsi="宋体" w:eastAsia="宋体" w:cs="宋体"/>
          <w:highlight w:val="none"/>
        </w:rPr>
      </w:pPr>
      <w:r>
        <w:rPr>
          <w:rFonts w:hint="eastAsia" w:ascii="宋体" w:hAnsi="宋体" w:eastAsia="宋体" w:cs="宋体"/>
          <w:highlight w:val="none"/>
        </w:rPr>
        <w:t xml:space="preserve">15.1.4 </w:t>
      </w:r>
      <w:r>
        <w:rPr>
          <w:rFonts w:hint="eastAsia" w:ascii="宋体" w:hAnsi="宋体" w:eastAsia="宋体" w:cs="宋体"/>
          <w:highlight w:val="none"/>
        </w:rPr>
        <w:tab/>
      </w:r>
      <w:r>
        <w:rPr>
          <w:rFonts w:hint="eastAsia" w:ascii="宋体" w:hAnsi="宋体" w:eastAsia="宋体" w:cs="宋体"/>
          <w:highlight w:val="none"/>
        </w:rPr>
        <w:t xml:space="preserve">在本技术规格说明书中有关的健康安全守则将同时应用于承包单位及其下承包单位的所有职级员工。 </w:t>
      </w:r>
    </w:p>
    <w:p>
      <w:pPr>
        <w:spacing w:after="250"/>
        <w:ind w:left="1350" w:right="0" w:hanging="1078"/>
        <w:rPr>
          <w:rFonts w:hint="eastAsia" w:ascii="宋体" w:hAnsi="宋体" w:eastAsia="宋体" w:cs="宋体"/>
          <w:highlight w:val="none"/>
        </w:rPr>
      </w:pPr>
      <w:r>
        <w:rPr>
          <w:rFonts w:hint="eastAsia" w:ascii="宋体" w:hAnsi="宋体" w:eastAsia="宋体" w:cs="宋体"/>
          <w:highlight w:val="none"/>
        </w:rPr>
        <w:t xml:space="preserve">15.1.5 </w:t>
      </w:r>
      <w:r>
        <w:rPr>
          <w:rFonts w:hint="eastAsia" w:ascii="宋体" w:hAnsi="宋体" w:eastAsia="宋体" w:cs="宋体"/>
          <w:highlight w:val="none"/>
        </w:rPr>
        <w:tab/>
      </w:r>
      <w:r>
        <w:rPr>
          <w:rFonts w:hint="eastAsia" w:ascii="宋体" w:hAnsi="宋体" w:eastAsia="宋体" w:cs="宋体"/>
          <w:highlight w:val="none"/>
        </w:rPr>
        <w:t xml:space="preserve">承包单位须确保与受聘于其下的承包单位所签合约及附件中已注明适当及充足的健康安全指引以便执行。 </w:t>
      </w:r>
    </w:p>
    <w:p>
      <w:pPr>
        <w:spacing w:after="248"/>
        <w:ind w:left="1350" w:right="0" w:hanging="1078"/>
        <w:rPr>
          <w:rFonts w:hint="eastAsia" w:ascii="宋体" w:hAnsi="宋体" w:eastAsia="宋体" w:cs="宋体"/>
          <w:highlight w:val="none"/>
        </w:rPr>
      </w:pPr>
      <w:r>
        <w:rPr>
          <w:rFonts w:hint="eastAsia" w:ascii="宋体" w:hAnsi="宋体" w:eastAsia="宋体" w:cs="宋体"/>
          <w:highlight w:val="none"/>
        </w:rPr>
        <w:t xml:space="preserve">15.1.6 </w:t>
      </w:r>
      <w:r>
        <w:rPr>
          <w:rFonts w:hint="eastAsia" w:ascii="宋体" w:hAnsi="宋体" w:eastAsia="宋体" w:cs="宋体"/>
          <w:highlight w:val="none"/>
        </w:rPr>
        <w:tab/>
      </w:r>
      <w:r>
        <w:rPr>
          <w:rFonts w:hint="eastAsia" w:ascii="宋体" w:hAnsi="宋体" w:eastAsia="宋体" w:cs="宋体"/>
          <w:highlight w:val="none"/>
        </w:rPr>
        <w:t xml:space="preserve">承包单位须确保已审核其下承包单位所提供的安全标准，才可加进合约之中，并须确保所聘用的承包单位已拥有最高标准。 </w:t>
      </w:r>
    </w:p>
    <w:p>
      <w:pPr>
        <w:ind w:left="282" w:right="0"/>
        <w:rPr>
          <w:rFonts w:hint="eastAsia" w:ascii="宋体" w:hAnsi="宋体" w:eastAsia="宋体" w:cs="宋体"/>
          <w:highlight w:val="none"/>
        </w:rPr>
      </w:pPr>
      <w:r>
        <w:rPr>
          <w:rFonts w:hint="eastAsia" w:ascii="宋体" w:hAnsi="宋体" w:eastAsia="宋体" w:cs="宋体"/>
          <w:highlight w:val="none"/>
        </w:rPr>
        <w:t xml:space="preserve">15.2 </w:t>
      </w:r>
      <w:r>
        <w:rPr>
          <w:rFonts w:hint="eastAsia" w:ascii="宋体" w:hAnsi="宋体" w:eastAsia="宋体" w:cs="宋体"/>
          <w:highlight w:val="none"/>
        </w:rPr>
        <w:tab/>
      </w:r>
      <w:r>
        <w:rPr>
          <w:rFonts w:hint="eastAsia" w:ascii="宋体" w:hAnsi="宋体" w:eastAsia="宋体" w:cs="宋体"/>
          <w:highlight w:val="none"/>
        </w:rPr>
        <w:t xml:space="preserve">有关法例及标准 </w:t>
      </w:r>
    </w:p>
    <w:p>
      <w:pPr>
        <w:numPr>
          <w:ilvl w:val="0"/>
          <w:numId w:val="3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承包单位须符合所有现有及将来的制造，并符合由政府有关部门所确认的安全指引及条例。 </w:t>
      </w:r>
    </w:p>
    <w:p>
      <w:pPr>
        <w:numPr>
          <w:ilvl w:val="0"/>
          <w:numId w:val="36"/>
        </w:numPr>
        <w:ind w:left="1960" w:right="0" w:hanging="622"/>
        <w:rPr>
          <w:rFonts w:hint="eastAsia" w:ascii="宋体" w:hAnsi="宋体" w:eastAsia="宋体" w:cs="宋体"/>
          <w:highlight w:val="none"/>
        </w:rPr>
      </w:pPr>
      <w:r>
        <w:rPr>
          <w:rFonts w:hint="eastAsia" w:ascii="宋体" w:hAnsi="宋体" w:eastAsia="宋体" w:cs="宋体"/>
          <w:highlight w:val="none"/>
        </w:rPr>
        <w:t xml:space="preserve">除特别注明于本技术规格说明书内，亦需符合国际标准。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15.3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承包单位的安全及健康手册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15.3.1 </w:t>
      </w:r>
      <w:r>
        <w:rPr>
          <w:rFonts w:hint="eastAsia" w:ascii="宋体" w:hAnsi="宋体" w:eastAsia="宋体" w:cs="宋体"/>
          <w:highlight w:val="none"/>
        </w:rPr>
        <w:tab/>
      </w:r>
      <w:r>
        <w:rPr>
          <w:rFonts w:hint="eastAsia" w:ascii="宋体" w:hAnsi="宋体" w:eastAsia="宋体" w:cs="宋体"/>
          <w:highlight w:val="none"/>
        </w:rPr>
        <w:t xml:space="preserve">一般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37"/>
        </w:numPr>
        <w:ind w:left="1960" w:right="0" w:hanging="622"/>
        <w:rPr>
          <w:rFonts w:hint="eastAsia" w:ascii="宋体" w:hAnsi="宋体" w:eastAsia="宋体" w:cs="宋体"/>
          <w:highlight w:val="none"/>
        </w:rPr>
      </w:pPr>
      <w:r>
        <w:rPr>
          <w:rFonts w:hint="eastAsia" w:ascii="宋体" w:hAnsi="宋体" w:eastAsia="宋体" w:cs="宋体"/>
          <w:highlight w:val="none"/>
        </w:rPr>
        <w:t xml:space="preserve">于开工日计起 60 天内，承包单位须向工程师提交一份安全及健康手册及安全及健康计划书以供审阅。 </w:t>
      </w:r>
    </w:p>
    <w:p>
      <w:pPr>
        <w:numPr>
          <w:ilvl w:val="0"/>
          <w:numId w:val="3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承包单位须提供安全及健康手册、安全及健康计划书、风险评估及方法指引的复印本给其下承包单位。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15.3.2 </w:t>
      </w:r>
      <w:r>
        <w:rPr>
          <w:rFonts w:hint="eastAsia" w:ascii="宋体" w:hAnsi="宋体" w:eastAsia="宋体" w:cs="宋体"/>
          <w:highlight w:val="none"/>
        </w:rPr>
        <w:tab/>
      </w:r>
      <w:r>
        <w:rPr>
          <w:rFonts w:hint="eastAsia" w:ascii="宋体" w:hAnsi="宋体" w:eastAsia="宋体" w:cs="宋体"/>
          <w:highlight w:val="none"/>
        </w:rPr>
        <w:t xml:space="preserve">安全及健康手册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承包单位的安全及健康手册和计划书须包含执行时的相关程序，并须不少于</w:t>
      </w:r>
    </w:p>
    <w:p>
      <w:pPr>
        <w:ind w:left="1348" w:right="0"/>
        <w:rPr>
          <w:rFonts w:hint="eastAsia" w:ascii="宋体" w:hAnsi="宋体" w:eastAsia="宋体" w:cs="宋体"/>
          <w:highlight w:val="none"/>
        </w:rPr>
      </w:pPr>
      <w:r>
        <w:rPr>
          <w:rFonts w:hint="eastAsia" w:ascii="宋体" w:hAnsi="宋体" w:eastAsia="宋体" w:cs="宋体"/>
          <w:highlight w:val="none"/>
        </w:rPr>
        <w:t xml:space="preserve">每 12 个月重新审阅一次及更新，以便反映及符合工程的变更。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15.3.3 </w:t>
      </w:r>
      <w:r>
        <w:rPr>
          <w:rFonts w:hint="eastAsia" w:ascii="宋体" w:hAnsi="宋体" w:eastAsia="宋体" w:cs="宋体"/>
          <w:highlight w:val="none"/>
        </w:rPr>
        <w:tab/>
      </w:r>
      <w:r>
        <w:rPr>
          <w:rFonts w:hint="eastAsia" w:ascii="宋体" w:hAnsi="宋体" w:eastAsia="宋体" w:cs="宋体"/>
          <w:highlight w:val="none"/>
        </w:rPr>
        <w:t xml:space="preserve">安全计划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38"/>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承包单位须制定及执行一套完全符合本项目的实际情况，本技术规格说明书及有关规范，条例，设计等规定的安全计划书。 </w:t>
      </w:r>
    </w:p>
    <w:p>
      <w:pPr>
        <w:numPr>
          <w:ilvl w:val="0"/>
          <w:numId w:val="38"/>
        </w:numPr>
        <w:ind w:left="1960" w:right="0" w:hanging="622"/>
        <w:rPr>
          <w:rFonts w:hint="eastAsia" w:ascii="宋体" w:hAnsi="宋体" w:eastAsia="宋体" w:cs="宋体"/>
          <w:highlight w:val="none"/>
        </w:rPr>
      </w:pPr>
      <w:r>
        <w:rPr>
          <w:rFonts w:hint="eastAsia" w:ascii="宋体" w:hAnsi="宋体" w:eastAsia="宋体" w:cs="宋体"/>
          <w:highlight w:val="none"/>
        </w:rPr>
        <w:t xml:space="preserve">此安全计划书须包括一份由承包单位的法人(或最高负责人)发出的公司政策条约，公开声明将对有关的安全、健康、及避免损失作为合约内容特别关注的一环，并对此承担合约须负上的责任。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15.3.4 </w:t>
      </w:r>
      <w:r>
        <w:rPr>
          <w:rFonts w:hint="eastAsia" w:ascii="宋体" w:hAnsi="宋体" w:eastAsia="宋体" w:cs="宋体"/>
          <w:highlight w:val="none"/>
        </w:rPr>
        <w:tab/>
      </w:r>
      <w:r>
        <w:rPr>
          <w:rFonts w:hint="eastAsia" w:ascii="宋体" w:hAnsi="宋体" w:eastAsia="宋体" w:cs="宋体"/>
          <w:highlight w:val="none"/>
        </w:rPr>
        <w:t xml:space="preserve">风险评估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39"/>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承包单位须制定详尽的风险评估包含安全、健康及避免损失等方面的工作。 </w:t>
      </w:r>
    </w:p>
    <w:p>
      <w:pPr>
        <w:numPr>
          <w:ilvl w:val="0"/>
          <w:numId w:val="39"/>
        </w:numPr>
        <w:spacing w:after="5" w:line="255" w:lineRule="auto"/>
        <w:ind w:left="1960" w:right="0" w:hanging="622"/>
        <w:rPr>
          <w:rFonts w:hint="eastAsia" w:ascii="宋体" w:hAnsi="宋体" w:eastAsia="宋体" w:cs="宋体"/>
          <w:highlight w:val="none"/>
        </w:rPr>
      </w:pPr>
      <w:r>
        <w:rPr>
          <w:rFonts w:hint="eastAsia" w:ascii="宋体" w:hAnsi="宋体" w:eastAsia="宋体" w:cs="宋体"/>
          <w:highlight w:val="none"/>
        </w:rPr>
        <w:t xml:space="preserve">有关风险评估须由一位独立有资质的第三方或认可工程师代表执行，并须于执行日计起的 45 天内或经工程师确认的日期内将报告提交给工程师审批。 </w:t>
      </w:r>
    </w:p>
    <w:p>
      <w:pPr>
        <w:numPr>
          <w:ilvl w:val="0"/>
          <w:numId w:val="39"/>
        </w:numPr>
        <w:ind w:left="1960" w:right="0" w:hanging="622"/>
        <w:rPr>
          <w:rFonts w:hint="eastAsia" w:ascii="宋体" w:hAnsi="宋体" w:eastAsia="宋体" w:cs="宋体"/>
          <w:highlight w:val="none"/>
        </w:rPr>
      </w:pPr>
      <w:r>
        <w:rPr>
          <w:rFonts w:hint="eastAsia" w:ascii="宋体" w:hAnsi="宋体" w:eastAsia="宋体" w:cs="宋体"/>
          <w:highlight w:val="none"/>
        </w:rPr>
        <w:t xml:space="preserve">此份报告文件须列明详细的隐藏危险会对安全、健康及损失造成威胁，并要求作出改善方案及执行的政策以降低或消除此等风险。 </w:t>
      </w:r>
    </w:p>
    <w:p>
      <w:pPr>
        <w:numPr>
          <w:ilvl w:val="0"/>
          <w:numId w:val="39"/>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所有风险评估中的发现，必须列明于承包单位的安全计划书，安全程序及执行法条文内。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15.4 </w:t>
      </w:r>
      <w:r>
        <w:rPr>
          <w:rFonts w:hint="eastAsia" w:ascii="宋体" w:hAnsi="宋体" w:eastAsia="宋体" w:cs="宋体"/>
          <w:highlight w:val="none"/>
        </w:rPr>
        <w:tab/>
      </w:r>
      <w:r>
        <w:rPr>
          <w:rFonts w:hint="eastAsia" w:ascii="宋体" w:hAnsi="宋体" w:eastAsia="宋体" w:cs="宋体"/>
          <w:highlight w:val="none"/>
        </w:rPr>
        <w:t xml:space="preserve">承包单位的安全措施安排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15.4.1 </w:t>
      </w:r>
      <w:r>
        <w:rPr>
          <w:rFonts w:hint="eastAsia" w:ascii="宋体" w:hAnsi="宋体" w:eastAsia="宋体" w:cs="宋体"/>
          <w:highlight w:val="none"/>
        </w:rPr>
        <w:tab/>
      </w:r>
      <w:r>
        <w:rPr>
          <w:rFonts w:hint="eastAsia" w:ascii="宋体" w:hAnsi="宋体" w:eastAsia="宋体" w:cs="宋体"/>
          <w:highlight w:val="none"/>
        </w:rPr>
        <w:t xml:space="preserve">工作协调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4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承包单位须确保整个工程能有计划地进行，而有关一组的工人所执行的工序不会影响另一组工人的安全，例如搭棚工人在电缆桥架上工作等。 </w:t>
      </w:r>
    </w:p>
    <w:p>
      <w:pPr>
        <w:numPr>
          <w:ilvl w:val="0"/>
          <w:numId w:val="4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每天须进行工作会议，以便统筹及安排工作。如有需要，并须发出工作准许证。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15.4.2 </w:t>
      </w:r>
      <w:r>
        <w:rPr>
          <w:rFonts w:hint="eastAsia" w:ascii="宋体" w:hAnsi="宋体" w:eastAsia="宋体" w:cs="宋体"/>
          <w:highlight w:val="none"/>
        </w:rPr>
        <w:tab/>
      </w:r>
      <w:r>
        <w:rPr>
          <w:rFonts w:hint="eastAsia" w:ascii="宋体" w:hAnsi="宋体" w:eastAsia="宋体" w:cs="宋体"/>
          <w:highlight w:val="none"/>
        </w:rPr>
        <w:t xml:space="preserve">安全检查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承包单位须请较高级别的专职安全工作的驻工地人员参加由监理工程师/承包商组织的每周、每月例行的工地安全检查。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例行安全检查后，须提交一份报告，当中包括建议所需执行措施及行动，及有关发现的问题及漏洞。此份报告将作为审核之用及于将来检讨会上用作讨论相关安全、健康及避免损失。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工程师须准备一份例行安全检查的项目清单以供承包单位跟进检查。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检查项目清单须明确指定安全，健康及避免损失所要求达到的标准，以便检查人员在整个检查过程里将实际的情况与准备作对照比较，并作出改进建议。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当完成项目检查清单后，须保存作记录，以便日后提交给工程师核实。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须制定评级标准，对有关检查项目评级，等级由非常好，好，可接受，较差，不能接受。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当某检查项目被评为 “可接受” 以下级别，则须要提交有效改善方案，并即时执行。并于 7 至 10 天后作进一步检查，评定最新情况。 </w:t>
      </w:r>
    </w:p>
    <w:p>
      <w:pPr>
        <w:numPr>
          <w:ilvl w:val="0"/>
          <w:numId w:val="41"/>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承包单位须告知工程师有关每月例行检查的日期，工程师将委派其代表监督整个例行检查。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7" w:name="_Toc22784"/>
      <w:r>
        <w:rPr>
          <w:rFonts w:hint="eastAsia" w:ascii="宋体" w:hAnsi="宋体" w:eastAsia="宋体" w:cs="宋体"/>
          <w:b/>
          <w:bCs/>
          <w:highlight w:val="none"/>
        </w:rPr>
        <w:t>竣工证书</w:t>
      </w:r>
      <w:bookmarkEnd w:id="17"/>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4"/>
        <w:ind w:left="10" w:right="233" w:firstLine="132"/>
        <w:jc w:val="right"/>
        <w:rPr>
          <w:rFonts w:hint="eastAsia" w:ascii="宋体" w:hAnsi="宋体" w:eastAsia="宋体" w:cs="宋体"/>
          <w:highlight w:val="none"/>
        </w:rPr>
      </w:pPr>
      <w:r>
        <w:rPr>
          <w:rFonts w:hint="eastAsia" w:ascii="宋体" w:hAnsi="宋体" w:eastAsia="宋体" w:cs="宋体"/>
          <w:highlight w:val="none"/>
        </w:rPr>
        <w:t xml:space="preserve">16.1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由业主/建筑师/工程师所签发的竣工证书是表示系统通过验收测试，可交付业主使用，但承包单位仍须向各有关政府部门完成送审、安排调试、检验及</w:t>
      </w:r>
    </w:p>
    <w:p>
      <w:pPr>
        <w:ind w:left="1348" w:right="0"/>
        <w:rPr>
          <w:rFonts w:hint="eastAsia" w:ascii="宋体" w:hAnsi="宋体" w:eastAsia="宋体" w:cs="宋体"/>
          <w:highlight w:val="none"/>
        </w:rPr>
      </w:pPr>
      <w:r>
        <w:rPr>
          <w:rFonts w:hint="eastAsia" w:ascii="宋体" w:hAnsi="宋体" w:eastAsia="宋体" w:cs="宋体"/>
          <w:highlight w:val="none"/>
        </w:rPr>
        <w:t xml:space="preserve">申请所需的系统运行许可证，方才完成承包单位在本合约的责任。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16.2 </w:t>
      </w:r>
      <w:r>
        <w:rPr>
          <w:rFonts w:hint="eastAsia" w:ascii="宋体" w:hAnsi="宋体" w:eastAsia="宋体" w:cs="宋体"/>
          <w:highlight w:val="none"/>
        </w:rPr>
        <w:tab/>
      </w:r>
      <w:r>
        <w:rPr>
          <w:rFonts w:hint="eastAsia" w:ascii="宋体" w:hAnsi="宋体" w:eastAsia="宋体" w:cs="宋体"/>
          <w:highlight w:val="none"/>
        </w:rPr>
        <w:t xml:space="preserve">承包单位需负责所有根据本技术规格说明书中列明的国内/外规范要求对安装的系统进行审批、调试和检验等工作所需的费用。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8" w:name="_Toc18312"/>
      <w:r>
        <w:rPr>
          <w:rFonts w:hint="eastAsia" w:ascii="宋体" w:hAnsi="宋体" w:eastAsia="宋体" w:cs="宋体"/>
          <w:b/>
          <w:bCs/>
          <w:highlight w:val="none"/>
        </w:rPr>
        <w:t>品质保证</w:t>
      </w:r>
      <w:bookmarkEnd w:id="18"/>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17.1 </w:t>
      </w:r>
      <w:r>
        <w:rPr>
          <w:rFonts w:hint="eastAsia" w:ascii="宋体" w:hAnsi="宋体" w:eastAsia="宋体" w:cs="宋体"/>
          <w:highlight w:val="none"/>
        </w:rPr>
        <w:tab/>
      </w:r>
      <w:r>
        <w:rPr>
          <w:rFonts w:hint="eastAsia" w:ascii="宋体" w:hAnsi="宋体" w:eastAsia="宋体" w:cs="宋体"/>
          <w:highlight w:val="none"/>
        </w:rPr>
        <w:t xml:space="preserve">一般要求，承包单位需要建立，实行及维持质量管理记录系统，而该质量系统于整个施工过程需要有效运作，承包单位的质量管理系统需要符合及达到最新版本之国家标准， 并与承包单位日常运作配合。承包单位有责任呈交质量管理纪录与工程师审阅。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17.1.1 </w:t>
      </w:r>
      <w:r>
        <w:rPr>
          <w:rFonts w:hint="eastAsia" w:ascii="宋体" w:hAnsi="宋体" w:eastAsia="宋体" w:cs="宋体"/>
          <w:highlight w:val="none"/>
        </w:rPr>
        <w:tab/>
      </w:r>
      <w:r>
        <w:rPr>
          <w:rFonts w:hint="eastAsia" w:ascii="宋体" w:hAnsi="宋体" w:eastAsia="宋体" w:cs="宋体"/>
          <w:highlight w:val="none"/>
        </w:rPr>
        <w:t xml:space="preserve">承包单位之质量纪录需要包括以下所提及部份，但亦不只限于以下﹕ </w:t>
      </w:r>
    </w:p>
    <w:p>
      <w:pPr>
        <w:numPr>
          <w:ilvl w:val="0"/>
          <w:numId w:val="42"/>
        </w:numPr>
        <w:ind w:right="0" w:hanging="720"/>
        <w:rPr>
          <w:rFonts w:hint="eastAsia" w:ascii="宋体" w:hAnsi="宋体" w:eastAsia="宋体" w:cs="宋体"/>
          <w:highlight w:val="none"/>
        </w:rPr>
      </w:pPr>
      <w:r>
        <w:rPr>
          <w:rFonts w:hint="eastAsia" w:ascii="宋体" w:hAnsi="宋体" w:eastAsia="宋体" w:cs="宋体"/>
          <w:highlight w:val="none"/>
        </w:rPr>
        <w:t xml:space="preserve">质量手册 </w:t>
      </w:r>
    </w:p>
    <w:p>
      <w:pPr>
        <w:numPr>
          <w:ilvl w:val="0"/>
          <w:numId w:val="42"/>
        </w:numPr>
        <w:ind w:right="0" w:hanging="720"/>
        <w:rPr>
          <w:rFonts w:hint="eastAsia" w:ascii="宋体" w:hAnsi="宋体" w:eastAsia="宋体" w:cs="宋体"/>
          <w:highlight w:val="none"/>
        </w:rPr>
      </w:pPr>
      <w:r>
        <w:rPr>
          <w:rFonts w:hint="eastAsia" w:ascii="宋体" w:hAnsi="宋体" w:eastAsia="宋体" w:cs="宋体"/>
          <w:highlight w:val="none"/>
        </w:rPr>
        <w:t xml:space="preserve">项目质量计划 </w:t>
      </w:r>
    </w:p>
    <w:p>
      <w:pPr>
        <w:numPr>
          <w:ilvl w:val="0"/>
          <w:numId w:val="42"/>
        </w:numPr>
        <w:ind w:right="0" w:hanging="720"/>
        <w:rPr>
          <w:rFonts w:hint="eastAsia" w:ascii="宋体" w:hAnsi="宋体" w:eastAsia="宋体" w:cs="宋体"/>
          <w:highlight w:val="none"/>
        </w:rPr>
      </w:pPr>
      <w:r>
        <w:rPr>
          <w:rFonts w:hint="eastAsia" w:ascii="宋体" w:hAnsi="宋体" w:eastAsia="宋体" w:cs="宋体"/>
          <w:highlight w:val="none"/>
        </w:rPr>
        <w:t xml:space="preserve">质量步骤，工作指示及标准表格(如合约定明则按合约要求) </w:t>
      </w:r>
    </w:p>
    <w:p>
      <w:pPr>
        <w:numPr>
          <w:ilvl w:val="0"/>
          <w:numId w:val="42"/>
        </w:numPr>
        <w:ind w:right="0" w:hanging="720"/>
        <w:rPr>
          <w:rFonts w:hint="eastAsia" w:ascii="宋体" w:hAnsi="宋体" w:eastAsia="宋体" w:cs="宋体"/>
          <w:highlight w:val="none"/>
        </w:rPr>
      </w:pPr>
      <w:r>
        <w:rPr>
          <w:rFonts w:hint="eastAsia" w:ascii="宋体" w:hAnsi="宋体" w:eastAsia="宋体" w:cs="宋体"/>
          <w:highlight w:val="none"/>
        </w:rPr>
        <w:t xml:space="preserve">制定质量计划 </w:t>
      </w:r>
    </w:p>
    <w:p>
      <w:pPr>
        <w:numPr>
          <w:ilvl w:val="0"/>
          <w:numId w:val="42"/>
        </w:numPr>
        <w:ind w:right="0" w:hanging="720"/>
        <w:rPr>
          <w:rFonts w:hint="eastAsia" w:ascii="宋体" w:hAnsi="宋体" w:eastAsia="宋体" w:cs="宋体"/>
          <w:highlight w:val="none"/>
        </w:rPr>
      </w:pPr>
      <w:r>
        <w:rPr>
          <w:rFonts w:hint="eastAsia" w:ascii="宋体" w:hAnsi="宋体" w:eastAsia="宋体" w:cs="宋体"/>
          <w:highlight w:val="none"/>
        </w:rPr>
        <w:t xml:space="preserve">检验及测试计划 </w:t>
      </w:r>
    </w:p>
    <w:p>
      <w:pPr>
        <w:spacing w:after="0" w:line="259" w:lineRule="auto"/>
        <w:ind w:left="2598"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17.1.2 </w:t>
      </w:r>
      <w:r>
        <w:rPr>
          <w:rFonts w:hint="eastAsia" w:ascii="宋体" w:hAnsi="宋体" w:eastAsia="宋体" w:cs="宋体"/>
          <w:highlight w:val="none"/>
        </w:rPr>
        <w:tab/>
      </w:r>
      <w:r>
        <w:rPr>
          <w:rFonts w:hint="eastAsia" w:ascii="宋体" w:hAnsi="宋体" w:eastAsia="宋体" w:cs="宋体"/>
          <w:highlight w:val="none"/>
        </w:rPr>
        <w:t xml:space="preserve">承包单位需要计划，实行及纪录所有质量及保证及质量控制措施以保证工作根据合约质量系统文件要求，而以上之计划及纪录需经过工程师审阅，并且工程师没作任何反对意见方可执行。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17.1.3 </w:t>
      </w:r>
      <w:r>
        <w:rPr>
          <w:rFonts w:hint="eastAsia" w:ascii="宋体" w:hAnsi="宋体" w:eastAsia="宋体" w:cs="宋体"/>
          <w:highlight w:val="none"/>
        </w:rPr>
        <w:tab/>
      </w:r>
      <w:r>
        <w:rPr>
          <w:rFonts w:hint="eastAsia" w:ascii="宋体" w:hAnsi="宋体" w:eastAsia="宋体" w:cs="宋体"/>
          <w:highlight w:val="none"/>
        </w:rPr>
        <w:t>质量审核将由工程师或其代表执行，以保证承包单位维持及执行质量管理系</w:t>
      </w:r>
    </w:p>
    <w:p>
      <w:pPr>
        <w:ind w:left="1348" w:right="0"/>
        <w:rPr>
          <w:rFonts w:hint="eastAsia" w:ascii="宋体" w:hAnsi="宋体" w:eastAsia="宋体" w:cs="宋体"/>
          <w:highlight w:val="none"/>
        </w:rPr>
      </w:pPr>
      <w:r>
        <w:rPr>
          <w:rFonts w:hint="eastAsia" w:ascii="宋体" w:hAnsi="宋体" w:eastAsia="宋体" w:cs="宋体"/>
          <w:highlight w:val="none"/>
        </w:rPr>
        <w:t xml:space="preserve">统及达致质量管理系统之要求。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17.2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呈交质量系统文件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43"/>
        </w:numPr>
        <w:ind w:right="0" w:hanging="1078"/>
        <w:rPr>
          <w:rFonts w:hint="eastAsia" w:ascii="宋体" w:hAnsi="宋体" w:eastAsia="宋体" w:cs="宋体"/>
          <w:highlight w:val="none"/>
        </w:rPr>
      </w:pPr>
      <w:r>
        <w:rPr>
          <w:rFonts w:hint="eastAsia" w:ascii="宋体" w:hAnsi="宋体" w:eastAsia="宋体" w:cs="宋体"/>
          <w:highlight w:val="none"/>
        </w:rPr>
        <w:t xml:space="preserve">质量管理系统文件需要纪录所有承包单位，承包单位及其供应商，设计顾问等的一切活动。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43"/>
        </w:numPr>
        <w:ind w:right="0" w:hanging="1078"/>
        <w:rPr>
          <w:rFonts w:hint="eastAsia" w:ascii="宋体" w:hAnsi="宋体" w:eastAsia="宋体" w:cs="宋体"/>
          <w:highlight w:val="none"/>
        </w:rPr>
      </w:pPr>
      <w:r>
        <w:rPr>
          <w:rFonts w:hint="eastAsia" w:ascii="宋体" w:hAnsi="宋体" w:eastAsia="宋体" w:cs="宋体"/>
          <w:highlight w:val="none"/>
        </w:rPr>
        <w:t xml:space="preserve">于工作展开三十天内承包单位需要呈交以下文件与工程师审阅。 </w:t>
      </w:r>
    </w:p>
    <w:p>
      <w:pPr>
        <w:numPr>
          <w:ilvl w:val="0"/>
          <w:numId w:val="44"/>
        </w:numPr>
        <w:ind w:left="1960" w:right="0" w:hanging="622"/>
        <w:rPr>
          <w:rFonts w:hint="eastAsia" w:ascii="宋体" w:hAnsi="宋体" w:eastAsia="宋体" w:cs="宋体"/>
          <w:highlight w:val="none"/>
        </w:rPr>
      </w:pPr>
      <w:r>
        <w:rPr>
          <w:rFonts w:hint="eastAsia" w:ascii="宋体" w:hAnsi="宋体" w:eastAsia="宋体" w:cs="宋体"/>
          <w:highlight w:val="none"/>
        </w:rPr>
        <w:t xml:space="preserve">质量控制手册 </w:t>
      </w:r>
    </w:p>
    <w:p>
      <w:pPr>
        <w:numPr>
          <w:ilvl w:val="0"/>
          <w:numId w:val="44"/>
        </w:numPr>
        <w:ind w:left="1960" w:right="0" w:hanging="622"/>
        <w:rPr>
          <w:rFonts w:hint="eastAsia" w:ascii="宋体" w:hAnsi="宋体" w:eastAsia="宋体" w:cs="宋体"/>
          <w:highlight w:val="none"/>
        </w:rPr>
      </w:pPr>
      <w:r>
        <w:rPr>
          <w:rFonts w:hint="eastAsia" w:ascii="宋体" w:hAnsi="宋体" w:eastAsia="宋体" w:cs="宋体"/>
          <w:highlight w:val="none"/>
        </w:rPr>
        <w:t xml:space="preserve">项目质量计划 </w:t>
      </w:r>
    </w:p>
    <w:p>
      <w:pPr>
        <w:numPr>
          <w:ilvl w:val="0"/>
          <w:numId w:val="44"/>
        </w:numPr>
        <w:ind w:left="1960" w:right="0" w:hanging="622"/>
        <w:rPr>
          <w:rFonts w:hint="eastAsia" w:ascii="宋体" w:hAnsi="宋体" w:eastAsia="宋体" w:cs="宋体"/>
          <w:highlight w:val="none"/>
        </w:rPr>
      </w:pPr>
      <w:r>
        <w:rPr>
          <w:rFonts w:hint="eastAsia" w:ascii="宋体" w:hAnsi="宋体" w:eastAsia="宋体" w:cs="宋体"/>
          <w:highlight w:val="none"/>
        </w:rPr>
        <w:t xml:space="preserve">质量步骤，工作指示及标准表格(如合约定明则按合约要求) </w:t>
      </w:r>
    </w:p>
    <w:p>
      <w:pPr>
        <w:numPr>
          <w:ilvl w:val="0"/>
          <w:numId w:val="44"/>
        </w:numPr>
        <w:ind w:left="1960" w:right="0" w:hanging="622"/>
        <w:rPr>
          <w:rFonts w:hint="eastAsia" w:ascii="宋体" w:hAnsi="宋体" w:eastAsia="宋体" w:cs="宋体"/>
          <w:highlight w:val="none"/>
        </w:rPr>
      </w:pPr>
      <w:r>
        <w:rPr>
          <w:rFonts w:hint="eastAsia" w:ascii="宋体" w:hAnsi="宋体" w:eastAsia="宋体" w:cs="宋体"/>
          <w:highlight w:val="none"/>
        </w:rPr>
        <w:t xml:space="preserve">制定质量计划 </w:t>
      </w:r>
    </w:p>
    <w:p>
      <w:pPr>
        <w:numPr>
          <w:ilvl w:val="0"/>
          <w:numId w:val="44"/>
        </w:numPr>
        <w:ind w:left="1960" w:right="0" w:hanging="622"/>
        <w:rPr>
          <w:rFonts w:hint="eastAsia" w:ascii="宋体" w:hAnsi="宋体" w:eastAsia="宋体" w:cs="宋体"/>
          <w:highlight w:val="none"/>
        </w:rPr>
      </w:pPr>
      <w:r>
        <w:rPr>
          <w:rFonts w:hint="eastAsia" w:ascii="宋体" w:hAnsi="宋体" w:eastAsia="宋体" w:cs="宋体"/>
          <w:highlight w:val="none"/>
        </w:rPr>
        <w:t xml:space="preserve">检验及测试计划 </w:t>
      </w:r>
    </w:p>
    <w:p>
      <w:pPr>
        <w:spacing w:after="3" w:line="259" w:lineRule="auto"/>
        <w:ind w:left="2598"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17.2.4 </w:t>
      </w:r>
      <w:r>
        <w:rPr>
          <w:rFonts w:hint="eastAsia" w:ascii="宋体" w:hAnsi="宋体" w:eastAsia="宋体" w:cs="宋体"/>
          <w:highlight w:val="none"/>
        </w:rPr>
        <w:tab/>
      </w:r>
      <w:r>
        <w:rPr>
          <w:rFonts w:hint="eastAsia" w:ascii="宋体" w:hAnsi="宋体" w:eastAsia="宋体" w:cs="宋体"/>
          <w:highlight w:val="none"/>
        </w:rPr>
        <w:t xml:space="preserve">承包单位有责任要求工程师于合约期内审阅及更新质量管理计划，以配合工程之要求及开展，如有任何更改更新承包单位需要尽快呈交工程师审阅。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项目质量管理计划 </w:t>
      </w:r>
    </w:p>
    <w:p>
      <w:pPr>
        <w:ind w:left="1348" w:right="0"/>
        <w:rPr>
          <w:rFonts w:hint="eastAsia" w:ascii="宋体" w:hAnsi="宋体" w:eastAsia="宋体" w:cs="宋体"/>
          <w:highlight w:val="none"/>
        </w:rPr>
      </w:pPr>
      <w:r>
        <w:rPr>
          <w:rFonts w:hint="eastAsia" w:ascii="宋体" w:hAnsi="宋体" w:eastAsia="宋体" w:cs="宋体"/>
          <w:highlight w:val="none"/>
        </w:rPr>
        <w:t xml:space="preserve">项目质量管理计划由承包单位之质量管理系统设定而不限于﹕ </w:t>
      </w:r>
    </w:p>
    <w:p>
      <w:pPr>
        <w:numPr>
          <w:ilvl w:val="0"/>
          <w:numId w:val="45"/>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承包单位管理人员组织合伙人或合资单位的业绩，承包单位之人员组织，以显示每一分包之技术及管理以致每一单位之人员结构及分工。 </w:t>
      </w:r>
    </w:p>
    <w:p>
      <w:pPr>
        <w:numPr>
          <w:ilvl w:val="0"/>
          <w:numId w:val="45"/>
        </w:numPr>
        <w:ind w:left="1960" w:right="0" w:hanging="622"/>
        <w:rPr>
          <w:rFonts w:hint="eastAsia" w:ascii="宋体" w:hAnsi="宋体" w:eastAsia="宋体" w:cs="宋体"/>
          <w:highlight w:val="none"/>
        </w:rPr>
      </w:pPr>
      <w:r>
        <w:rPr>
          <w:rFonts w:hint="eastAsia" w:ascii="宋体" w:hAnsi="宋体" w:eastAsia="宋体" w:cs="宋体"/>
          <w:highlight w:val="none"/>
        </w:rPr>
        <w:t xml:space="preserve">聘请质量经理。 </w:t>
      </w:r>
    </w:p>
    <w:p>
      <w:pPr>
        <w:numPr>
          <w:ilvl w:val="0"/>
          <w:numId w:val="45"/>
        </w:numPr>
        <w:ind w:left="1960" w:right="0" w:hanging="622"/>
        <w:rPr>
          <w:rFonts w:hint="eastAsia" w:ascii="宋体" w:hAnsi="宋体" w:eastAsia="宋体" w:cs="宋体"/>
          <w:highlight w:val="none"/>
        </w:rPr>
      </w:pPr>
      <w:r>
        <w:rPr>
          <w:rFonts w:hint="eastAsia" w:ascii="宋体" w:hAnsi="宋体" w:eastAsia="宋体" w:cs="宋体"/>
          <w:highlight w:val="none"/>
        </w:rPr>
        <w:t xml:space="preserve">每一个管理及技术人员在设计及工地监察之分工责任及权力。 </w:t>
      </w:r>
    </w:p>
    <w:p>
      <w:pPr>
        <w:numPr>
          <w:ilvl w:val="0"/>
          <w:numId w:val="45"/>
        </w:numPr>
        <w:ind w:left="1960" w:right="0" w:hanging="622"/>
        <w:rPr>
          <w:rFonts w:hint="eastAsia" w:ascii="宋体" w:hAnsi="宋体" w:eastAsia="宋体" w:cs="宋体"/>
          <w:highlight w:val="none"/>
        </w:rPr>
      </w:pPr>
      <w:r>
        <w:rPr>
          <w:rFonts w:hint="eastAsia" w:ascii="宋体" w:hAnsi="宋体" w:eastAsia="宋体" w:cs="宋体"/>
          <w:highlight w:val="none"/>
        </w:rPr>
        <w:t xml:space="preserve">在合约上所采用的整体管理系统文件的层次及架构，及须显示那类文件由承包单位那一位主要成员负责。 </w:t>
      </w:r>
    </w:p>
    <w:p>
      <w:pPr>
        <w:numPr>
          <w:ilvl w:val="0"/>
          <w:numId w:val="45"/>
        </w:numPr>
        <w:ind w:left="1960" w:right="0" w:hanging="622"/>
        <w:rPr>
          <w:rFonts w:hint="eastAsia" w:ascii="宋体" w:hAnsi="宋体" w:eastAsia="宋体" w:cs="宋体"/>
          <w:highlight w:val="none"/>
        </w:rPr>
      </w:pPr>
      <w:r>
        <w:rPr>
          <w:rFonts w:hint="eastAsia" w:ascii="宋体" w:hAnsi="宋体" w:eastAsia="宋体" w:cs="宋体"/>
          <w:highlight w:val="none"/>
        </w:rPr>
        <w:t xml:space="preserve">有关变更，增加工作指示及要求之标准表格。 </w:t>
      </w:r>
    </w:p>
    <w:p>
      <w:pPr>
        <w:numPr>
          <w:ilvl w:val="0"/>
          <w:numId w:val="45"/>
        </w:numPr>
        <w:ind w:left="1960" w:right="0" w:hanging="622"/>
        <w:rPr>
          <w:rFonts w:hint="eastAsia" w:ascii="宋体" w:hAnsi="宋体" w:eastAsia="宋体" w:cs="宋体"/>
          <w:highlight w:val="none"/>
        </w:rPr>
      </w:pPr>
      <w:r>
        <w:rPr>
          <w:rFonts w:hint="eastAsia" w:ascii="宋体" w:hAnsi="宋体" w:eastAsia="宋体" w:cs="宋体"/>
          <w:highlight w:val="none"/>
        </w:rPr>
        <w:t xml:space="preserve">依合约要求之标准表格目录。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17.4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质量控制步骤工作指示及标准表格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所有质量步骤工作及标准表格，为纪录及证实相关之质量保证工作，而以上文件亦需要满足 ISO9001 及合约要求。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审批及更新质量系统文件以确保其连续性，合适性及效率。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所有永久或临时工作，由承包单位或其它顾问提供设计，均需要由独立工程师审批。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图纸管理于办公室，工地办公室，包括文件存放、审批及更新维护及传阅。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项目文件管理包括注册，更新，目录，存档，维护，储存及传阅。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有效监察及控制分包工作进度，呈交文件及工作质量。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监察呈交及再呈交予工程师审核。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监察，订货，物料设备之运送。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工作质量管理。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在任何时间对承包单位及承包单位作出审核。 </w:t>
      </w:r>
    </w:p>
    <w:p>
      <w:pPr>
        <w:numPr>
          <w:ilvl w:val="0"/>
          <w:numId w:val="4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根据合约要求建立及维护记录。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17.5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检查及测试计划 </w:t>
      </w:r>
    </w:p>
    <w:p>
      <w:pPr>
        <w:numPr>
          <w:ilvl w:val="0"/>
          <w:numId w:val="4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所有调试需要提供调试计划。 </w:t>
      </w:r>
    </w:p>
    <w:p>
      <w:pPr>
        <w:numPr>
          <w:ilvl w:val="0"/>
          <w:numId w:val="4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承包单位需要按合约准备及维持检查及测试计划书包括呈交审阅情况，以备工程师审阅。 </w:t>
      </w:r>
    </w:p>
    <w:p>
      <w:pPr>
        <w:numPr>
          <w:ilvl w:val="0"/>
          <w:numId w:val="4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每一测试需要满足以下要求，但不限于﹕ </w:t>
      </w:r>
    </w:p>
    <w:p>
      <w:pPr>
        <w:ind w:left="1984" w:right="4963"/>
        <w:rPr>
          <w:rFonts w:hint="eastAsia" w:ascii="宋体" w:hAnsi="宋体" w:eastAsia="宋体" w:cs="宋体"/>
          <w:highlight w:val="none"/>
        </w:rPr>
      </w:pPr>
      <w:r>
        <w:rPr>
          <w:rFonts w:hint="eastAsia" w:ascii="宋体" w:hAnsi="宋体" w:eastAsia="宋体" w:cs="宋体"/>
          <w:highlight w:val="none"/>
        </w:rPr>
        <w:t xml:space="preserve">a) 测试范围及计划。 </w:t>
      </w:r>
    </w:p>
    <w:p>
      <w:pPr>
        <w:ind w:left="1984" w:right="4963"/>
        <w:rPr>
          <w:rFonts w:hint="eastAsia" w:ascii="宋体" w:hAnsi="宋体" w:eastAsia="宋体" w:cs="宋体"/>
          <w:highlight w:val="none"/>
        </w:rPr>
      </w:pPr>
      <w:r>
        <w:rPr>
          <w:rFonts w:hint="eastAsia" w:ascii="宋体" w:hAnsi="宋体" w:eastAsia="宋体" w:cs="宋体"/>
          <w:highlight w:val="none"/>
        </w:rPr>
        <w:t xml:space="preserve">b) 测试程序及计划。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测试认证人员之责任。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测试人员责任。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检查及测试方法或所参考有关的检查及测试标准。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检查频率。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采用的测试标准。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检测标准及检测内容 </w:t>
      </w:r>
    </w:p>
    <w:p>
      <w:pPr>
        <w:numPr>
          <w:ilvl w:val="3"/>
          <w:numId w:val="48"/>
        </w:numPr>
        <w:ind w:right="0" w:hanging="426"/>
        <w:rPr>
          <w:rFonts w:hint="eastAsia" w:ascii="宋体" w:hAnsi="宋体" w:eastAsia="宋体" w:cs="宋体"/>
          <w:highlight w:val="none"/>
        </w:rPr>
      </w:pPr>
      <w:r>
        <w:rPr>
          <w:rFonts w:hint="eastAsia" w:ascii="宋体" w:hAnsi="宋体" w:eastAsia="宋体" w:cs="宋体"/>
          <w:highlight w:val="none"/>
        </w:rPr>
        <w:t xml:space="preserve">检查或测试的记录的归档及存储位置。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17.6 </w:t>
      </w:r>
      <w:r>
        <w:rPr>
          <w:rFonts w:hint="eastAsia" w:ascii="宋体" w:hAnsi="宋体" w:eastAsia="宋体" w:cs="宋体"/>
          <w:highlight w:val="none"/>
        </w:rPr>
        <w:tab/>
      </w:r>
      <w:r>
        <w:rPr>
          <w:rFonts w:hint="eastAsia" w:ascii="宋体" w:hAnsi="宋体" w:eastAsia="宋体" w:cs="宋体"/>
          <w:highlight w:val="none"/>
        </w:rPr>
        <w:t xml:space="preserve">不符合规格通知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49"/>
        </w:numPr>
        <w:ind w:right="0" w:hanging="1078"/>
        <w:rPr>
          <w:rFonts w:hint="eastAsia" w:ascii="宋体" w:hAnsi="宋体" w:eastAsia="宋体" w:cs="宋体"/>
          <w:highlight w:val="none"/>
        </w:rPr>
      </w:pPr>
      <w:r>
        <w:rPr>
          <w:rFonts w:hint="eastAsia" w:ascii="宋体" w:hAnsi="宋体" w:eastAsia="宋体" w:cs="宋体"/>
          <w:highlight w:val="none"/>
        </w:rPr>
        <w:t xml:space="preserve">在发出竣工证书或有关部份前，承包单位所采用或建议采用或维修任何项目而不符合合约要求，承包单位须提交有关建议及详细资料给工程师审批。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49"/>
        </w:numPr>
        <w:ind w:right="0" w:hanging="1078"/>
        <w:rPr>
          <w:rFonts w:hint="eastAsia" w:ascii="宋体" w:hAnsi="宋体" w:eastAsia="宋体" w:cs="宋体"/>
          <w:highlight w:val="none"/>
        </w:rPr>
      </w:pPr>
      <w:r>
        <w:rPr>
          <w:rFonts w:hint="eastAsia" w:ascii="宋体" w:hAnsi="宋体" w:eastAsia="宋体" w:cs="宋体"/>
          <w:highlight w:val="none"/>
        </w:rPr>
        <w:t xml:space="preserve">如工程师发出不合规格报告或相关通知承包单位，其工作不能满足合约要求，承包单位需要于十四天内开展调查工作并采取补救措施，而该措施亦需由工程师审批，防止不合格项目再次发生。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49"/>
        </w:numPr>
        <w:ind w:right="0" w:hanging="1078"/>
        <w:rPr>
          <w:rFonts w:hint="eastAsia" w:ascii="宋体" w:hAnsi="宋体" w:eastAsia="宋体" w:cs="宋体"/>
          <w:highlight w:val="none"/>
        </w:rPr>
      </w:pPr>
      <w:r>
        <w:rPr>
          <w:rFonts w:hint="eastAsia" w:ascii="宋体" w:hAnsi="宋体" w:eastAsia="宋体" w:cs="宋体"/>
          <w:highlight w:val="none"/>
        </w:rPr>
        <w:t xml:space="preserve">承包单位需要保存不合规格纪录，及显示其状况，以备工程师随时要求审阅。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17.7 </w:t>
      </w:r>
      <w:r>
        <w:rPr>
          <w:rFonts w:hint="eastAsia" w:ascii="宋体" w:hAnsi="宋体" w:eastAsia="宋体" w:cs="宋体"/>
          <w:highlight w:val="none"/>
        </w:rPr>
        <w:tab/>
      </w:r>
      <w:r>
        <w:rPr>
          <w:rFonts w:hint="eastAsia" w:ascii="宋体" w:hAnsi="宋体" w:eastAsia="宋体" w:cs="宋体"/>
          <w:highlight w:val="none"/>
        </w:rPr>
        <w:t xml:space="preserve">品质纪录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承包单位需要确保所有质量纪录能作为执行质量管理系统之证据，而该纪录保证有系统地存档，维护更新及储存。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19" w:name="_Toc53"/>
      <w:r>
        <w:rPr>
          <w:rFonts w:hint="eastAsia" w:ascii="宋体" w:hAnsi="宋体" w:eastAsia="宋体" w:cs="宋体"/>
          <w:b/>
          <w:bCs/>
          <w:highlight w:val="none"/>
        </w:rPr>
        <w:t>竣工前系统之使用</w:t>
      </w:r>
      <w:bookmarkEnd w:id="19"/>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18.1 </w:t>
      </w:r>
      <w:r>
        <w:rPr>
          <w:rFonts w:hint="eastAsia" w:ascii="宋体" w:hAnsi="宋体" w:eastAsia="宋体" w:cs="宋体"/>
          <w:highlight w:val="none"/>
        </w:rPr>
        <w:tab/>
      </w:r>
      <w:r>
        <w:rPr>
          <w:rFonts w:hint="eastAsia" w:ascii="宋体" w:hAnsi="宋体" w:eastAsia="宋体" w:cs="宋体"/>
          <w:highlight w:val="none"/>
        </w:rPr>
        <w:t xml:space="preserve">承包单位在末获得业主的书面同意前，不可使用任何已安装好的设备。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50" w:right="0" w:hanging="1078"/>
        <w:rPr>
          <w:rFonts w:hint="eastAsia" w:ascii="宋体" w:hAnsi="宋体" w:eastAsia="宋体" w:cs="宋体"/>
          <w:highlight w:val="none"/>
        </w:rPr>
      </w:pPr>
      <w:r>
        <w:rPr>
          <w:rFonts w:hint="eastAsia" w:ascii="宋体" w:hAnsi="宋体" w:eastAsia="宋体" w:cs="宋体"/>
          <w:highlight w:val="none"/>
        </w:rPr>
        <w:t xml:space="preserve">18.2 </w:t>
      </w:r>
      <w:r>
        <w:rPr>
          <w:rFonts w:hint="eastAsia" w:ascii="宋体" w:hAnsi="宋体" w:eastAsia="宋体" w:cs="宋体"/>
          <w:highlight w:val="none"/>
        </w:rPr>
        <w:tab/>
      </w:r>
      <w:r>
        <w:rPr>
          <w:rFonts w:hint="eastAsia" w:ascii="宋体" w:hAnsi="宋体" w:eastAsia="宋体" w:cs="宋体"/>
          <w:highlight w:val="none"/>
        </w:rPr>
        <w:t xml:space="preserve">如任何设备或有关配件在合约的施工期内使用，所有可损耗/消耗性的配件或材料，包括电灯泡及荧光灯等需在竣工前不少于 7 天更换全新的有关设备。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20" w:name="_Toc30228"/>
      <w:r>
        <w:rPr>
          <w:rFonts w:hint="eastAsia" w:ascii="宋体" w:hAnsi="宋体" w:eastAsia="宋体" w:cs="宋体"/>
          <w:b/>
          <w:bCs/>
          <w:highlight w:val="none"/>
        </w:rPr>
        <w:t>缺陷处理</w:t>
      </w:r>
      <w:bookmarkEnd w:id="20"/>
      <w:r>
        <w:rPr>
          <w:rFonts w:hint="eastAsia" w:ascii="宋体" w:hAnsi="宋体" w:eastAsia="宋体" w:cs="宋体"/>
          <w:b/>
          <w:bCs/>
          <w:highlight w:val="none"/>
        </w:rPr>
        <w:t xml:space="preserve">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有缺陷的手工/工作承包单位应根据合约有关文件严格地处理。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承包单位应更换有缺陷的手工/工作，物料，设备或根据合约文件内的有关工作。会考虑承包单位提交的其它处理或修补建议，如建议能把缺陷修补及达到合约文件的标准。不能因有关建议而对承包单位解除对合约文件内的所有责任。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19.1 </w:t>
      </w:r>
      <w:r>
        <w:rPr>
          <w:rFonts w:hint="eastAsia" w:ascii="宋体" w:hAnsi="宋体" w:eastAsia="宋体" w:cs="宋体"/>
          <w:highlight w:val="none"/>
        </w:rPr>
        <w:tab/>
      </w:r>
      <w:r>
        <w:rPr>
          <w:rFonts w:hint="eastAsia" w:ascii="宋体" w:hAnsi="宋体" w:eastAsia="宋体" w:cs="宋体"/>
          <w:highlight w:val="none"/>
        </w:rPr>
        <w:t xml:space="preserve">因结霜或恶劣天气而损害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4" w:line="239" w:lineRule="auto"/>
        <w:ind w:left="840" w:right="0" w:firstLine="420"/>
        <w:jc w:val="center"/>
        <w:rPr>
          <w:rFonts w:hint="eastAsia" w:ascii="宋体" w:hAnsi="宋体" w:eastAsia="宋体" w:cs="宋体"/>
          <w:highlight w:val="none"/>
        </w:rPr>
      </w:pPr>
      <w:r>
        <w:rPr>
          <w:rFonts w:hint="eastAsia" w:ascii="宋体" w:hAnsi="宋体" w:eastAsia="宋体" w:cs="宋体"/>
          <w:highlight w:val="none"/>
        </w:rPr>
        <w:t>承包单位不能因结霜或恶劣天气影响导致设备或物料损害而不进行施工，进行施工时应采取可靠的保护措施，并且此措施应事前取得业主同时，如有关</w:t>
      </w:r>
    </w:p>
    <w:p>
      <w:pPr>
        <w:ind w:left="1348" w:right="0"/>
        <w:rPr>
          <w:rFonts w:hint="eastAsia" w:ascii="宋体" w:hAnsi="宋体" w:eastAsia="宋体" w:cs="宋体"/>
          <w:highlight w:val="none"/>
        </w:rPr>
      </w:pPr>
      <w:r>
        <w:rPr>
          <w:rFonts w:hint="eastAsia" w:ascii="宋体" w:hAnsi="宋体" w:eastAsia="宋体" w:cs="宋体"/>
          <w:highlight w:val="none"/>
        </w:rPr>
        <w:t xml:space="preserve">设备或物料因结霜或受恶劣天气而损坏，一切费用由承包单位负责。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highlight w:val="none"/>
        </w:rPr>
      </w:pPr>
      <w:bookmarkStart w:id="21" w:name="_Toc28341"/>
      <w:r>
        <w:rPr>
          <w:rFonts w:hint="eastAsia" w:ascii="宋体" w:hAnsi="宋体" w:eastAsia="宋体" w:cs="宋体"/>
          <w:highlight w:val="none"/>
        </w:rPr>
        <w:t>操作和维修保养手册</w:t>
      </w:r>
      <w:bookmarkEnd w:id="21"/>
      <w:r>
        <w:rPr>
          <w:rFonts w:hint="eastAsia" w:ascii="宋体" w:hAnsi="宋体" w:eastAsia="宋体" w:cs="宋体"/>
          <w:b/>
          <w:highlight w:val="none"/>
        </w:rPr>
        <w:t xml:space="preserve">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20.1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概说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须于工地测试和试运行进行前一个月，使业主及有关人员事前熟悉所安装设备和系统。手册内应包括竣工图、控制程序、操作和维修的程序。如一些资料因有关工程尚未完成而需以临时插页暂代外，初稿格式安排应与日后正式手册的编排相同。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此外，于呈交手册草稿前一个月，承包单位应先将手册的编排大纲内容的初稿呈交建筑师/工程师作审核。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经批核的正式手册必须于缺陷保修期开始后的六个星期内备妥及呈交。</w:t>
      </w:r>
    </w:p>
    <w:p>
      <w:pPr>
        <w:ind w:left="1984" w:right="0"/>
        <w:rPr>
          <w:rFonts w:hint="eastAsia" w:ascii="宋体" w:hAnsi="宋体" w:eastAsia="宋体" w:cs="宋体"/>
          <w:highlight w:val="none"/>
        </w:rPr>
      </w:pPr>
      <w:r>
        <w:rPr>
          <w:rFonts w:hint="eastAsia" w:ascii="宋体" w:hAnsi="宋体" w:eastAsia="宋体" w:cs="宋体"/>
          <w:highlight w:val="none"/>
        </w:rPr>
        <w:t xml:space="preserve">手册内所有资料应以中文编印。手册内的说明书应是原厂印制，影印本将不被接纳。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每一系统应独立成册，以减少每册的厚度，不同的内容或章节应以塑胶制索引标签分隔并附有清楚的目录指示，以便使用者翻查参考。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手册应采用纸质优厚的 A4 标准规格的纸张编印，内文和插图资料必须清晰。为便于使用及能经得起在日常维修的工作环境下多次反复翻阅而不易受破损，手册应配上坚硬的封面、书背和书脊，并以胶质塑料或其它耐磨损的材料作保护。为避免手册内页于使用于时散失或容易被抽离，手册的订装方法宜采用不易拆除的锁钉和钉装环方式，并同时确保手册于使用时平躺打开。不应采用弹性底垫钉装方法。手册内须附有一定数量的空白附页以便维修保养人员作为工作笔记之用。在书背内页亦需配置一个图袋以作日后放置增添的图纸之用。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所有图表应绘划在附有座标方格的图纸上，而任何互有关连的图表，应在相关图纸上各附参照标记。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设备的操作控制采用“控制示意图”以清楚而简单的形式来表示，并以“控制连接图”方式表示装置内部各部件及电线的位置、安排和联接的资料。所有的控制图须包括或另提供详细的图例说明，以识别各部件和接点的位置并标注其特别功能、特征和用途，例如额定电流量、线圈电压、调节定位参数等。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如在不同的控制示意图上表示设备内部之间的联接时，在相关的图纸上须各附相互参照的标记，并同时需清楚表示相互联接部份的电缆资料包括电缆的尺寸。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在设备布置图上所注的标记须与有关的示意图上所标注的互相吻合，使所有的设备装置的位置和功能容易识别。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手册须同时附有本项目的“竣工图”目录，并按所属系统分列于有关系统的章节内。如某一图纸同时适用于多个系统时，则需在每个有关系统章节内同时列出。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在最终版本的手册内应包括在设计和施工图送审期间所提交及审批的有关文件，为减省翻查旧档案的时间，在编写有关文件时，应采用与手册相同的格式以便可成为手册的一部份。至于个别系统设备和装置，亦可以利用由厂家提供的技术数据和指南，经索引编排后成为手册的一部份，但其内容和格式必须符合本技术规格说明书的要求，有关资料的钉装应与手册相同。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所需提交的手册数量，须按照本部分“文件及图纸送审及提交”所规定的要求提供。同时，承包单位应呈交手册的电子文档，电子文档除</w:t>
      </w:r>
    </w:p>
    <w:p>
      <w:pPr>
        <w:spacing w:after="4"/>
        <w:ind w:left="10" w:right="8"/>
        <w:jc w:val="right"/>
        <w:rPr>
          <w:rFonts w:hint="eastAsia" w:ascii="宋体" w:hAnsi="宋体" w:eastAsia="宋体" w:cs="宋体"/>
          <w:highlight w:val="none"/>
        </w:rPr>
      </w:pPr>
      <w:r>
        <w:rPr>
          <w:rFonts w:hint="eastAsia" w:ascii="宋体" w:hAnsi="宋体" w:eastAsia="宋体" w:cs="宋体"/>
          <w:highlight w:val="none"/>
        </w:rPr>
        <w:t xml:space="preserve">包括上述所有图纸及技术资料外，还应编制详尽清晰的目录以便检查。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手册须附有全套调试报告。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手册须附有各设备联络人之电话。 </w:t>
      </w:r>
    </w:p>
    <w:p>
      <w:pPr>
        <w:numPr>
          <w:ilvl w:val="0"/>
          <w:numId w:val="5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手册须包括设备之建议定期维修时间表及其步骤。 </w:t>
      </w:r>
    </w:p>
    <w:p>
      <w:pPr>
        <w:spacing w:after="93"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20.2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内容 </w:t>
      </w:r>
    </w:p>
    <w:p>
      <w:pPr>
        <w:spacing w:after="114" w:line="259" w:lineRule="auto"/>
        <w:ind w:left="1353" w:right="0" w:firstLine="0"/>
        <w:rPr>
          <w:rFonts w:hint="eastAsia" w:ascii="宋体" w:hAnsi="宋体" w:eastAsia="宋体" w:cs="宋体"/>
          <w:highlight w:val="none"/>
        </w:rPr>
      </w:pPr>
      <w:r>
        <w:rPr>
          <w:rFonts w:hint="eastAsia" w:ascii="宋体" w:hAnsi="宋体" w:eastAsia="宋体" w:cs="宋体"/>
          <w:sz w:val="13"/>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本节需包括手册的主旨并简要说明手册的内容和章节。 </w:t>
      </w:r>
    </w:p>
    <w:p>
      <w:pPr>
        <w:spacing w:after="93" w:line="259" w:lineRule="auto"/>
        <w:ind w:left="1353" w:right="0" w:firstLine="0"/>
        <w:rPr>
          <w:rFonts w:hint="eastAsia" w:ascii="宋体" w:hAnsi="宋体" w:eastAsia="宋体" w:cs="宋体"/>
          <w:highlight w:val="none"/>
        </w:rPr>
      </w:pPr>
      <w:r>
        <w:rPr>
          <w:rFonts w:hint="eastAsia" w:ascii="宋体" w:hAnsi="宋体" w:eastAsia="宋体" w:cs="宋体"/>
          <w:sz w:val="15"/>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20.2.1 </w:t>
      </w:r>
      <w:r>
        <w:rPr>
          <w:rFonts w:hint="eastAsia" w:ascii="宋体" w:hAnsi="宋体" w:eastAsia="宋体" w:cs="宋体"/>
          <w:highlight w:val="none"/>
        </w:rPr>
        <w:tab/>
      </w:r>
      <w:r>
        <w:rPr>
          <w:rFonts w:hint="eastAsia" w:ascii="宋体" w:hAnsi="宋体" w:eastAsia="宋体" w:cs="宋体"/>
          <w:highlight w:val="none"/>
        </w:rPr>
        <w:t xml:space="preserve">系统说明 </w:t>
      </w:r>
    </w:p>
    <w:p>
      <w:pPr>
        <w:spacing w:after="113" w:line="259" w:lineRule="auto"/>
        <w:ind w:right="0"/>
        <w:rPr>
          <w:rFonts w:hint="eastAsia" w:ascii="宋体" w:hAnsi="宋体" w:eastAsia="宋体" w:cs="宋体"/>
          <w:highlight w:val="none"/>
        </w:rPr>
      </w:pPr>
    </w:p>
    <w:p>
      <w:pPr>
        <w:ind w:left="1348" w:right="0"/>
        <w:rPr>
          <w:rFonts w:hint="eastAsia" w:ascii="宋体" w:hAnsi="宋体" w:eastAsia="宋体" w:cs="宋体"/>
          <w:highlight w:val="none"/>
        </w:rPr>
      </w:pPr>
      <w:r>
        <w:rPr>
          <w:rFonts w:hint="eastAsia" w:ascii="宋体" w:hAnsi="宋体" w:eastAsia="宋体" w:cs="宋体"/>
          <w:highlight w:val="none"/>
        </w:rPr>
        <w:t xml:space="preserve">本节至少应包括以下内容： </w:t>
      </w:r>
    </w:p>
    <w:p>
      <w:pPr>
        <w:numPr>
          <w:ilvl w:val="0"/>
          <w:numId w:val="51"/>
        </w:numPr>
        <w:ind w:left="1960" w:right="0" w:hanging="622"/>
        <w:rPr>
          <w:rFonts w:hint="eastAsia" w:ascii="宋体" w:hAnsi="宋体" w:eastAsia="宋体" w:cs="宋体"/>
          <w:highlight w:val="none"/>
        </w:rPr>
      </w:pPr>
      <w:r>
        <w:rPr>
          <w:rFonts w:hint="eastAsia" w:ascii="宋体" w:hAnsi="宋体" w:eastAsia="宋体" w:cs="宋体"/>
          <w:highlight w:val="none"/>
        </w:rPr>
        <w:t xml:space="preserve">分别详尽介绍每个独立系统如何调节、控制、监察和调校。 </w:t>
      </w:r>
    </w:p>
    <w:p>
      <w:pPr>
        <w:numPr>
          <w:ilvl w:val="0"/>
          <w:numId w:val="51"/>
        </w:numPr>
        <w:ind w:left="1960" w:right="0" w:hanging="622"/>
        <w:rPr>
          <w:rFonts w:hint="eastAsia" w:ascii="宋体" w:hAnsi="宋体" w:eastAsia="宋体" w:cs="宋体"/>
          <w:highlight w:val="none"/>
        </w:rPr>
      </w:pPr>
      <w:r>
        <w:rPr>
          <w:rFonts w:hint="eastAsia" w:ascii="宋体" w:hAnsi="宋体" w:eastAsia="宋体" w:cs="宋体"/>
          <w:highlight w:val="none"/>
        </w:rPr>
        <w:t xml:space="preserve">介绍各系统的主要装置和部件的大小规格功能。 </w:t>
      </w:r>
    </w:p>
    <w:p>
      <w:pPr>
        <w:numPr>
          <w:ilvl w:val="0"/>
          <w:numId w:val="51"/>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提供每个系统的可调节部件和保护装置的最初设定参数。应预留一定的空位以便加插系统调试后的最终设定。 </w:t>
      </w:r>
    </w:p>
    <w:p>
      <w:pPr>
        <w:numPr>
          <w:ilvl w:val="0"/>
          <w:numId w:val="51"/>
        </w:numPr>
        <w:ind w:left="1960" w:right="0" w:hanging="622"/>
        <w:rPr>
          <w:rFonts w:hint="eastAsia" w:ascii="宋体" w:hAnsi="宋体" w:eastAsia="宋体" w:cs="宋体"/>
          <w:highlight w:val="none"/>
        </w:rPr>
      </w:pPr>
      <w:r>
        <w:rPr>
          <w:rFonts w:hint="eastAsia" w:ascii="宋体" w:hAnsi="宋体" w:eastAsia="宋体" w:cs="宋体"/>
          <w:highlight w:val="none"/>
        </w:rPr>
        <w:t xml:space="preserve">系统设备的正常运作程序和在不正常情况下维持部份部件运作的应变程序。 </w:t>
      </w:r>
    </w:p>
    <w:p>
      <w:pPr>
        <w:spacing w:after="8" w:line="259" w:lineRule="auto"/>
        <w:ind w:left="1974"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260" w:right="0" w:hanging="988"/>
        <w:rPr>
          <w:rFonts w:hint="eastAsia" w:ascii="宋体" w:hAnsi="宋体" w:eastAsia="宋体" w:cs="宋体"/>
          <w:highlight w:val="none"/>
        </w:rPr>
      </w:pPr>
      <w:r>
        <w:rPr>
          <w:rFonts w:hint="eastAsia" w:ascii="宋体" w:hAnsi="宋体" w:eastAsia="宋体" w:cs="宋体"/>
          <w:highlight w:val="none"/>
        </w:rPr>
        <w:t xml:space="preserve">20.2.2 </w:t>
      </w:r>
      <w:r>
        <w:rPr>
          <w:rFonts w:hint="eastAsia" w:ascii="宋体" w:hAnsi="宋体" w:eastAsia="宋体" w:cs="宋体"/>
          <w:highlight w:val="none"/>
        </w:rPr>
        <w:tab/>
      </w:r>
      <w:r>
        <w:rPr>
          <w:rFonts w:hint="eastAsia" w:ascii="宋体" w:hAnsi="宋体" w:eastAsia="宋体" w:cs="宋体"/>
          <w:highlight w:val="none"/>
        </w:rPr>
        <w:t xml:space="preserve">技术说明本节应包括所有设备和部件的技术资料和功能的说明，其格式应参照本技术说明书，内容包括： </w:t>
      </w:r>
    </w:p>
    <w:p>
      <w:pPr>
        <w:numPr>
          <w:ilvl w:val="0"/>
          <w:numId w:val="52"/>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所有系统和设备的技术资料介绍，包括每块电路板的电路图，以及所有电子组件的布置图。 </w:t>
      </w:r>
    </w:p>
    <w:p>
      <w:pPr>
        <w:numPr>
          <w:ilvl w:val="0"/>
          <w:numId w:val="52"/>
        </w:numPr>
        <w:ind w:left="1960" w:right="0" w:hanging="622"/>
        <w:rPr>
          <w:rFonts w:hint="eastAsia" w:ascii="宋体" w:hAnsi="宋体" w:eastAsia="宋体" w:cs="宋体"/>
          <w:highlight w:val="none"/>
        </w:rPr>
      </w:pPr>
      <w:r>
        <w:rPr>
          <w:rFonts w:hint="eastAsia" w:ascii="宋体" w:hAnsi="宋体" w:eastAsia="宋体" w:cs="宋体"/>
          <w:highlight w:val="none"/>
        </w:rPr>
        <w:t xml:space="preserve">管道和接线图。 </w:t>
      </w:r>
    </w:p>
    <w:p>
      <w:pPr>
        <w:numPr>
          <w:ilvl w:val="0"/>
          <w:numId w:val="52"/>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所有专利设备需附有原厂所发的制造图纸，如有需要须同时提供部件剖析图以显示各部件的位置。 </w:t>
      </w:r>
    </w:p>
    <w:p>
      <w:pPr>
        <w:numPr>
          <w:ilvl w:val="0"/>
          <w:numId w:val="52"/>
        </w:numPr>
        <w:ind w:left="1960" w:right="0" w:hanging="622"/>
        <w:rPr>
          <w:rFonts w:hint="eastAsia" w:ascii="宋体" w:hAnsi="宋体" w:eastAsia="宋体" w:cs="宋体"/>
          <w:highlight w:val="none"/>
        </w:rPr>
      </w:pPr>
      <w:r>
        <w:rPr>
          <w:rFonts w:hint="eastAsia" w:ascii="宋体" w:hAnsi="宋体" w:eastAsia="宋体" w:cs="宋体"/>
          <w:highlight w:val="none"/>
        </w:rPr>
        <w:t xml:space="preserve">设备表：列出生产制造厂商、型号、系列编号、经调试运行后所核定的设定参数。 </w:t>
      </w:r>
    </w:p>
    <w:p>
      <w:pPr>
        <w:numPr>
          <w:ilvl w:val="0"/>
          <w:numId w:val="52"/>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提供所有设备的产品说明书、签证书以及性能指标表等资料。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20.2.3 </w:t>
      </w:r>
      <w:r>
        <w:rPr>
          <w:rFonts w:hint="eastAsia" w:ascii="宋体" w:hAnsi="宋体" w:eastAsia="宋体" w:cs="宋体"/>
          <w:highlight w:val="none"/>
        </w:rPr>
        <w:tab/>
      </w:r>
      <w:r>
        <w:rPr>
          <w:rFonts w:hint="eastAsia" w:ascii="宋体" w:hAnsi="宋体" w:eastAsia="宋体" w:cs="宋体"/>
          <w:highlight w:val="none"/>
        </w:rPr>
        <w:t xml:space="preserve">维修保养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本节应包括所有装置的运作和维修保养程序说明。而内容须至少包括以下的资料：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所有系统的检查手册。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所有系统的运作手册。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更换装置部件的程序、要求和更换率。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从整个系统以至电路版的维修保养指示和说明、调校程序和寻找故障的指示和说明。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进行系统操作和维修保养的程序和需特别注意的事项。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零备件贮存和目录编册系统。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系统的故障寻找程序。 </w:t>
      </w:r>
    </w:p>
    <w:p>
      <w:pPr>
        <w:numPr>
          <w:ilvl w:val="0"/>
          <w:numId w:val="53"/>
        </w:numPr>
        <w:ind w:left="1960" w:right="0" w:hanging="622"/>
        <w:rPr>
          <w:rFonts w:hint="eastAsia" w:ascii="宋体" w:hAnsi="宋体" w:eastAsia="宋体" w:cs="宋体"/>
          <w:highlight w:val="none"/>
        </w:rPr>
      </w:pPr>
      <w:r>
        <w:rPr>
          <w:rFonts w:hint="eastAsia" w:ascii="宋体" w:hAnsi="宋体" w:eastAsia="宋体" w:cs="宋体"/>
          <w:highlight w:val="none"/>
        </w:rPr>
        <w:t xml:space="preserve">零备件表。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20.2.4</w:t>
      </w:r>
      <w:r>
        <w:rPr>
          <w:rFonts w:hint="eastAsia" w:ascii="宋体" w:hAnsi="宋体" w:eastAsia="宋体" w:cs="宋体"/>
          <w:highlight w:val="none"/>
        </w:rPr>
        <w:tab/>
      </w:r>
      <w:r>
        <w:rPr>
          <w:rFonts w:hint="eastAsia" w:ascii="宋体" w:hAnsi="宋体" w:eastAsia="宋体" w:cs="宋体"/>
          <w:highlight w:val="none"/>
        </w:rPr>
        <w:t xml:space="preserve"> 安全保险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本节至少应包括以下内容： </w:t>
      </w:r>
    </w:p>
    <w:p>
      <w:pPr>
        <w:numPr>
          <w:ilvl w:val="0"/>
          <w:numId w:val="54"/>
        </w:numPr>
        <w:ind w:left="1960" w:right="0" w:hanging="622"/>
        <w:rPr>
          <w:rFonts w:hint="eastAsia" w:ascii="宋体" w:hAnsi="宋体" w:eastAsia="宋体" w:cs="宋体"/>
          <w:highlight w:val="none"/>
        </w:rPr>
      </w:pPr>
      <w:r>
        <w:rPr>
          <w:rFonts w:hint="eastAsia" w:ascii="宋体" w:hAnsi="宋体" w:eastAsia="宋体" w:cs="宋体"/>
          <w:highlight w:val="none"/>
        </w:rPr>
        <w:t xml:space="preserve">各类设备的正确操作程序。 </w:t>
      </w:r>
    </w:p>
    <w:p>
      <w:pPr>
        <w:numPr>
          <w:ilvl w:val="0"/>
          <w:numId w:val="54"/>
        </w:numPr>
        <w:ind w:left="1960" w:right="0" w:hanging="622"/>
        <w:rPr>
          <w:rFonts w:hint="eastAsia" w:ascii="宋体" w:hAnsi="宋体" w:eastAsia="宋体" w:cs="宋体"/>
          <w:highlight w:val="none"/>
        </w:rPr>
      </w:pPr>
      <w:r>
        <w:rPr>
          <w:rFonts w:hint="eastAsia" w:ascii="宋体" w:hAnsi="宋体" w:eastAsia="宋体" w:cs="宋体"/>
          <w:highlight w:val="none"/>
        </w:rPr>
        <w:t xml:space="preserve">对各项系统操作时可能发生的危险事故所应作的预防、应变和保护措施说明。 </w:t>
      </w:r>
    </w:p>
    <w:p>
      <w:pPr>
        <w:numPr>
          <w:ilvl w:val="1"/>
          <w:numId w:val="54"/>
        </w:numPr>
        <w:ind w:left="2432" w:right="0" w:hanging="458"/>
        <w:rPr>
          <w:rFonts w:hint="eastAsia" w:ascii="宋体" w:hAnsi="宋体" w:eastAsia="宋体" w:cs="宋体"/>
          <w:highlight w:val="none"/>
        </w:rPr>
      </w:pPr>
      <w:r>
        <w:rPr>
          <w:rFonts w:hint="eastAsia" w:ascii="宋体" w:hAnsi="宋体" w:eastAsia="宋体" w:cs="宋体"/>
          <w:highlight w:val="none"/>
        </w:rPr>
        <w:t xml:space="preserve">电气事故的防护措施； </w:t>
      </w:r>
    </w:p>
    <w:p>
      <w:pPr>
        <w:numPr>
          <w:ilvl w:val="1"/>
          <w:numId w:val="54"/>
        </w:numPr>
        <w:ind w:left="2432" w:right="0" w:hanging="458"/>
        <w:rPr>
          <w:rFonts w:hint="eastAsia" w:ascii="宋体" w:hAnsi="宋体" w:eastAsia="宋体" w:cs="宋体"/>
          <w:highlight w:val="none"/>
        </w:rPr>
      </w:pPr>
      <w:r>
        <w:rPr>
          <w:rFonts w:hint="eastAsia" w:ascii="宋体" w:hAnsi="宋体" w:eastAsia="宋体" w:cs="宋体"/>
          <w:highlight w:val="none"/>
        </w:rPr>
        <w:t xml:space="preserve">机械事故的防护措施； </w:t>
      </w:r>
    </w:p>
    <w:p>
      <w:pPr>
        <w:numPr>
          <w:ilvl w:val="1"/>
          <w:numId w:val="54"/>
        </w:numPr>
        <w:ind w:left="2432" w:right="0" w:hanging="458"/>
        <w:rPr>
          <w:rFonts w:hint="eastAsia" w:ascii="宋体" w:hAnsi="宋体" w:eastAsia="宋体" w:cs="宋体"/>
          <w:highlight w:val="none"/>
        </w:rPr>
      </w:pPr>
      <w:r>
        <w:rPr>
          <w:rFonts w:hint="eastAsia" w:ascii="宋体" w:hAnsi="宋体" w:eastAsia="宋体" w:cs="宋体"/>
          <w:highlight w:val="none"/>
        </w:rPr>
        <w:t xml:space="preserve">火灾和爆炸事故的防护措施； </w:t>
      </w:r>
    </w:p>
    <w:p>
      <w:pPr>
        <w:numPr>
          <w:ilvl w:val="1"/>
          <w:numId w:val="54"/>
        </w:numPr>
        <w:ind w:left="2432" w:right="0" w:hanging="458"/>
        <w:rPr>
          <w:rFonts w:hint="eastAsia" w:ascii="宋体" w:hAnsi="宋体" w:eastAsia="宋体" w:cs="宋体"/>
          <w:highlight w:val="none"/>
        </w:rPr>
      </w:pPr>
      <w:r>
        <w:rPr>
          <w:rFonts w:hint="eastAsia" w:ascii="宋体" w:hAnsi="宋体" w:eastAsia="宋体" w:cs="宋体"/>
          <w:highlight w:val="none"/>
        </w:rPr>
        <w:t xml:space="preserve">化学事故的防护措施； </w:t>
      </w:r>
    </w:p>
    <w:p>
      <w:pPr>
        <w:numPr>
          <w:ilvl w:val="1"/>
          <w:numId w:val="54"/>
        </w:numPr>
        <w:ind w:left="2432" w:right="0" w:hanging="458"/>
        <w:rPr>
          <w:rFonts w:hint="eastAsia" w:ascii="宋体" w:hAnsi="宋体" w:eastAsia="宋体" w:cs="宋体"/>
          <w:highlight w:val="none"/>
        </w:rPr>
      </w:pPr>
      <w:r>
        <w:rPr>
          <w:rFonts w:hint="eastAsia" w:ascii="宋体" w:hAnsi="宋体" w:eastAsia="宋体" w:cs="宋体"/>
          <w:highlight w:val="none"/>
        </w:rPr>
        <w:t>在使用或处理燃料和化学物时出现事故的防护措施；</w:t>
      </w:r>
    </w:p>
    <w:p>
      <w:pPr>
        <w:numPr>
          <w:ilvl w:val="1"/>
          <w:numId w:val="54"/>
        </w:numPr>
        <w:ind w:left="2432" w:right="0" w:hanging="458"/>
        <w:rPr>
          <w:rFonts w:hint="eastAsia" w:ascii="宋体" w:hAnsi="宋体" w:eastAsia="宋体" w:cs="宋体"/>
          <w:highlight w:val="none"/>
        </w:rPr>
      </w:pPr>
      <w:r>
        <w:rPr>
          <w:rFonts w:hint="eastAsia" w:ascii="宋体" w:hAnsi="宋体" w:eastAsia="宋体" w:cs="宋体"/>
          <w:highlight w:val="none"/>
        </w:rPr>
        <w:t xml:space="preserve">急救及意外报告；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55"/>
        </w:numPr>
        <w:ind w:right="0" w:hanging="1078"/>
        <w:rPr>
          <w:rFonts w:hint="eastAsia" w:ascii="宋体" w:hAnsi="宋体" w:eastAsia="宋体" w:cs="宋体"/>
          <w:highlight w:val="none"/>
        </w:rPr>
      </w:pPr>
      <w:r>
        <w:rPr>
          <w:rFonts w:hint="eastAsia" w:ascii="宋体" w:hAnsi="宋体" w:eastAsia="宋体" w:cs="宋体"/>
          <w:highlight w:val="none"/>
        </w:rPr>
        <w:t xml:space="preserve">供应厂商指南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本节应列出每一种设备、材料和附件的供应厂商和代理商的名单，包括通讯地址、电话、图文传真号码及电邮地址。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55"/>
        </w:numPr>
        <w:ind w:right="0" w:hanging="1078"/>
        <w:rPr>
          <w:rFonts w:hint="eastAsia" w:ascii="宋体" w:hAnsi="宋体" w:eastAsia="宋体" w:cs="宋体"/>
          <w:highlight w:val="none"/>
        </w:rPr>
      </w:pPr>
      <w:r>
        <w:rPr>
          <w:rFonts w:hint="eastAsia" w:ascii="宋体" w:hAnsi="宋体" w:eastAsia="宋体" w:cs="宋体"/>
          <w:highlight w:val="none"/>
        </w:rPr>
        <w:t xml:space="preserve">零备件表本节应列出提供予业主的所有零备件和维修保养所用工具的清单。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2"/>
          <w:numId w:val="55"/>
        </w:numPr>
        <w:ind w:right="0" w:hanging="1078"/>
        <w:rPr>
          <w:rFonts w:hint="eastAsia" w:ascii="宋体" w:hAnsi="宋体" w:eastAsia="宋体" w:cs="宋体"/>
          <w:highlight w:val="none"/>
        </w:rPr>
      </w:pPr>
      <w:r>
        <w:rPr>
          <w:rFonts w:hint="eastAsia" w:ascii="宋体" w:hAnsi="宋体" w:eastAsia="宋体" w:cs="宋体"/>
          <w:highlight w:val="none"/>
        </w:rPr>
        <w:t xml:space="preserve">任何装置或控制系统采用电脑软件时，须提供专用使用手册并应包括以下内容。 </w:t>
      </w:r>
    </w:p>
    <w:p>
      <w:pPr>
        <w:numPr>
          <w:ilvl w:val="0"/>
          <w:numId w:val="56"/>
        </w:numPr>
        <w:ind w:left="1960" w:right="0" w:hanging="622"/>
        <w:rPr>
          <w:rFonts w:hint="eastAsia" w:ascii="宋体" w:hAnsi="宋体" w:eastAsia="宋体" w:cs="宋体"/>
          <w:highlight w:val="none"/>
        </w:rPr>
      </w:pPr>
      <w:r>
        <w:rPr>
          <w:rFonts w:hint="eastAsia" w:ascii="宋体" w:hAnsi="宋体" w:eastAsia="宋体" w:cs="宋体"/>
          <w:highlight w:val="none"/>
        </w:rPr>
        <w:t xml:space="preserve">目录表打印本； </w:t>
      </w:r>
    </w:p>
    <w:p>
      <w:pPr>
        <w:numPr>
          <w:ilvl w:val="0"/>
          <w:numId w:val="5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流程表、数据流程图和程序说明； </w:t>
      </w:r>
    </w:p>
    <w:p>
      <w:pPr>
        <w:numPr>
          <w:ilvl w:val="0"/>
          <w:numId w:val="56"/>
        </w:numPr>
        <w:ind w:left="1960" w:right="0" w:hanging="622"/>
        <w:rPr>
          <w:rFonts w:hint="eastAsia" w:ascii="宋体" w:hAnsi="宋体" w:eastAsia="宋体" w:cs="宋体"/>
          <w:highlight w:val="none"/>
        </w:rPr>
      </w:pPr>
      <w:r>
        <w:rPr>
          <w:rFonts w:hint="eastAsia" w:ascii="宋体" w:hAnsi="宋体" w:eastAsia="宋体" w:cs="宋体"/>
          <w:highlight w:val="none"/>
        </w:rPr>
        <w:t xml:space="preserve">故障诊断软件和工具的使用说明； </w:t>
      </w:r>
    </w:p>
    <w:p>
      <w:pPr>
        <w:numPr>
          <w:ilvl w:val="0"/>
          <w:numId w:val="56"/>
        </w:numPr>
        <w:ind w:left="1960" w:right="0" w:hanging="622"/>
        <w:rPr>
          <w:rFonts w:hint="eastAsia" w:ascii="宋体" w:hAnsi="宋体" w:eastAsia="宋体" w:cs="宋体"/>
          <w:highlight w:val="none"/>
        </w:rPr>
      </w:pPr>
      <w:r>
        <w:rPr>
          <w:rFonts w:hint="eastAsia" w:ascii="宋体" w:hAnsi="宋体" w:eastAsia="宋体" w:cs="宋体"/>
          <w:highlight w:val="none"/>
        </w:rPr>
        <w:t xml:space="preserve">程序设计和系统使用手册； </w:t>
      </w:r>
    </w:p>
    <w:p>
      <w:pPr>
        <w:numPr>
          <w:ilvl w:val="0"/>
          <w:numId w:val="56"/>
        </w:numPr>
        <w:ind w:left="1960" w:right="0" w:hanging="622"/>
        <w:rPr>
          <w:rFonts w:hint="eastAsia" w:ascii="宋体" w:hAnsi="宋体" w:eastAsia="宋体" w:cs="宋体"/>
          <w:highlight w:val="none"/>
        </w:rPr>
      </w:pPr>
      <w:r>
        <w:rPr>
          <w:rFonts w:hint="eastAsia" w:ascii="宋体" w:hAnsi="宋体" w:eastAsia="宋体" w:cs="宋体"/>
          <w:highlight w:val="none"/>
        </w:rPr>
        <w:t xml:space="preserve">应用原资料软件、专用工具和通用软件，以便业主能改动或改善软件。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highlight w:val="none"/>
        </w:rPr>
      </w:pPr>
      <w:bookmarkStart w:id="22" w:name="_Toc2116"/>
      <w:r>
        <w:rPr>
          <w:rFonts w:hint="eastAsia" w:ascii="宋体" w:hAnsi="宋体" w:eastAsia="宋体" w:cs="宋体"/>
          <w:highlight w:val="none"/>
        </w:rPr>
        <w:t>文件及图纸送审及提交</w:t>
      </w:r>
      <w:bookmarkEnd w:id="22"/>
      <w:r>
        <w:rPr>
          <w:rFonts w:hint="eastAsia" w:ascii="宋体" w:hAnsi="宋体" w:eastAsia="宋体" w:cs="宋体"/>
          <w:b/>
          <w:highlight w:val="none"/>
        </w:rPr>
        <w:t xml:space="preserve"> </w:t>
      </w:r>
    </w:p>
    <w:p>
      <w:pPr>
        <w:tabs>
          <w:tab w:val="center" w:pos="1353"/>
          <w:tab w:val="center" w:pos="6277"/>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数量/比例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21.1</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施工图 </w:t>
      </w:r>
    </w:p>
    <w:p>
      <w:pPr>
        <w:numPr>
          <w:ilvl w:val="0"/>
          <w:numId w:val="5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提交作审批/再审批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numPr>
          <w:ilvl w:val="0"/>
          <w:numId w:val="57"/>
        </w:numPr>
        <w:ind w:left="1960" w:right="0" w:hanging="622"/>
        <w:rPr>
          <w:rFonts w:hint="eastAsia" w:ascii="宋体" w:hAnsi="宋体" w:eastAsia="宋体" w:cs="宋体"/>
          <w:highlight w:val="none"/>
        </w:rPr>
      </w:pPr>
      <w:r>
        <w:rPr>
          <w:rFonts w:hint="eastAsia" w:ascii="宋体" w:hAnsi="宋体" w:eastAsia="宋体" w:cs="宋体"/>
          <w:highlight w:val="none"/>
        </w:rPr>
        <w:t xml:space="preserve">审批合格后提交作分送用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21.2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施工图的比例 </w:t>
      </w:r>
    </w:p>
    <w:p>
      <w:pPr>
        <w:numPr>
          <w:ilvl w:val="0"/>
          <w:numId w:val="58"/>
        </w:numPr>
        <w:ind w:left="1960" w:right="47" w:hanging="622"/>
        <w:rPr>
          <w:rFonts w:hint="eastAsia" w:ascii="宋体" w:hAnsi="宋体" w:eastAsia="宋体" w:cs="宋体"/>
          <w:highlight w:val="none"/>
        </w:rPr>
      </w:pPr>
      <w:r>
        <w:rPr>
          <w:rFonts w:hint="eastAsia" w:ascii="宋体" w:hAnsi="宋体" w:eastAsia="宋体" w:cs="宋体"/>
          <w:highlight w:val="none"/>
        </w:rPr>
        <w:t xml:space="preserve">要求土建配合图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1：100 </w:t>
      </w:r>
    </w:p>
    <w:p>
      <w:pPr>
        <w:numPr>
          <w:ilvl w:val="0"/>
          <w:numId w:val="58"/>
        </w:numPr>
        <w:spacing w:after="3" w:line="256" w:lineRule="auto"/>
        <w:ind w:left="1960" w:right="47" w:hanging="622"/>
        <w:rPr>
          <w:rFonts w:hint="eastAsia" w:ascii="宋体" w:hAnsi="宋体" w:eastAsia="宋体" w:cs="宋体"/>
          <w:highlight w:val="none"/>
        </w:rPr>
      </w:pPr>
      <w:r>
        <w:rPr>
          <w:rFonts w:hint="eastAsia" w:ascii="宋体" w:hAnsi="宋体" w:eastAsia="宋体" w:cs="宋体"/>
          <w:highlight w:val="none"/>
        </w:rPr>
        <w:t xml:space="preserve">布置图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1：100 </w:t>
      </w:r>
    </w:p>
    <w:p>
      <w:pPr>
        <w:numPr>
          <w:ilvl w:val="0"/>
          <w:numId w:val="58"/>
        </w:numPr>
        <w:spacing w:after="3" w:line="256" w:lineRule="auto"/>
        <w:ind w:left="1960" w:right="47" w:hanging="622"/>
        <w:rPr>
          <w:rFonts w:hint="eastAsia" w:ascii="宋体" w:hAnsi="宋体" w:eastAsia="宋体" w:cs="宋体"/>
          <w:highlight w:val="none"/>
        </w:rPr>
      </w:pPr>
      <w:r>
        <w:rPr>
          <w:rFonts w:hint="eastAsia" w:ascii="宋体" w:hAnsi="宋体" w:eastAsia="宋体" w:cs="宋体"/>
          <w:highlight w:val="none"/>
        </w:rPr>
        <w:t xml:space="preserve">机房装置大样图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1：20 ~ 1:50 </w:t>
      </w:r>
    </w:p>
    <w:p>
      <w:pPr>
        <w:numPr>
          <w:ilvl w:val="0"/>
          <w:numId w:val="58"/>
        </w:numPr>
        <w:ind w:left="1960" w:right="47" w:hanging="622"/>
        <w:rPr>
          <w:rFonts w:hint="eastAsia" w:ascii="宋体" w:hAnsi="宋体" w:eastAsia="宋体" w:cs="宋体"/>
          <w:highlight w:val="none"/>
        </w:rPr>
      </w:pPr>
      <w:r>
        <w:rPr>
          <w:rFonts w:hint="eastAsia" w:ascii="宋体" w:hAnsi="宋体" w:eastAsia="宋体" w:cs="宋体"/>
          <w:highlight w:val="none"/>
        </w:rPr>
        <w:t xml:space="preserve">（平面及剖面） </w:t>
      </w:r>
    </w:p>
    <w:p>
      <w:pPr>
        <w:numPr>
          <w:ilvl w:val="0"/>
          <w:numId w:val="58"/>
        </w:numPr>
        <w:ind w:left="1960" w:right="47" w:hanging="622"/>
        <w:rPr>
          <w:rFonts w:hint="eastAsia" w:ascii="宋体" w:hAnsi="宋体" w:eastAsia="宋体" w:cs="宋体"/>
          <w:highlight w:val="none"/>
        </w:rPr>
      </w:pPr>
      <w:r>
        <w:rPr>
          <w:rFonts w:hint="eastAsia" w:ascii="宋体" w:hAnsi="宋体" w:eastAsia="宋体" w:cs="宋体"/>
          <w:highlight w:val="none"/>
        </w:rPr>
        <w:t xml:space="preserve">系统示意图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无 </w:t>
      </w:r>
    </w:p>
    <w:p>
      <w:pPr>
        <w:numPr>
          <w:ilvl w:val="0"/>
          <w:numId w:val="58"/>
        </w:numPr>
        <w:spacing w:after="3" w:line="256" w:lineRule="auto"/>
        <w:ind w:left="1960" w:right="47" w:hanging="622"/>
        <w:rPr>
          <w:rFonts w:hint="eastAsia" w:ascii="宋体" w:hAnsi="宋体" w:eastAsia="宋体" w:cs="宋体"/>
          <w:highlight w:val="none"/>
        </w:rPr>
      </w:pPr>
      <w:r>
        <w:rPr>
          <w:rFonts w:hint="eastAsia" w:ascii="宋体" w:hAnsi="宋体" w:eastAsia="宋体" w:cs="宋体"/>
          <w:highlight w:val="none"/>
        </w:rPr>
        <w:t xml:space="preserve">装置大样图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1：10 ~ 1:50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21.3</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技术说明书、计算及规格 </w:t>
      </w:r>
    </w:p>
    <w:p>
      <w:pPr>
        <w:numPr>
          <w:ilvl w:val="0"/>
          <w:numId w:val="59"/>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提交作审批/再审批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numPr>
          <w:ilvl w:val="0"/>
          <w:numId w:val="59"/>
        </w:numPr>
        <w:ind w:left="1960" w:right="0" w:hanging="622"/>
        <w:rPr>
          <w:rFonts w:hint="eastAsia" w:ascii="宋体" w:hAnsi="宋体" w:eastAsia="宋体" w:cs="宋体"/>
          <w:highlight w:val="none"/>
        </w:rPr>
      </w:pPr>
      <w:r>
        <w:rPr>
          <w:rFonts w:hint="eastAsia" w:ascii="宋体" w:hAnsi="宋体" w:eastAsia="宋体" w:cs="宋体"/>
          <w:highlight w:val="none"/>
        </w:rPr>
        <w:t xml:space="preserve">审批合格后提交作分送用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8 份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21.4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测验、试运转的步骤和测试报告的形式 </w:t>
      </w:r>
    </w:p>
    <w:p>
      <w:pPr>
        <w:numPr>
          <w:ilvl w:val="0"/>
          <w:numId w:val="60"/>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提交作审批/再审批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8 份 </w:t>
      </w:r>
    </w:p>
    <w:p>
      <w:pPr>
        <w:numPr>
          <w:ilvl w:val="0"/>
          <w:numId w:val="60"/>
        </w:numPr>
        <w:ind w:left="1960" w:right="0" w:hanging="622"/>
        <w:rPr>
          <w:rFonts w:hint="eastAsia" w:ascii="宋体" w:hAnsi="宋体" w:eastAsia="宋体" w:cs="宋体"/>
          <w:highlight w:val="none"/>
        </w:rPr>
      </w:pPr>
      <w:r>
        <w:rPr>
          <w:rFonts w:hint="eastAsia" w:ascii="宋体" w:hAnsi="宋体" w:eastAsia="宋体" w:cs="宋体"/>
          <w:highlight w:val="none"/>
        </w:rPr>
        <w:t xml:space="preserve">审批合格后提交作分送用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8 份 </w:t>
      </w:r>
    </w:p>
    <w:p>
      <w:pPr>
        <w:spacing w:after="0" w:line="259" w:lineRule="auto"/>
        <w:ind w:left="1983"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 w:line="256" w:lineRule="auto"/>
        <w:ind w:left="282" w:right="94"/>
        <w:rPr>
          <w:rFonts w:hint="eastAsia" w:ascii="宋体" w:hAnsi="宋体" w:eastAsia="宋体" w:cs="宋体"/>
          <w:highlight w:val="none"/>
        </w:rPr>
      </w:pPr>
      <w:r>
        <w:rPr>
          <w:rFonts w:hint="eastAsia" w:ascii="宋体" w:hAnsi="宋体" w:eastAsia="宋体" w:cs="宋体"/>
          <w:highlight w:val="none"/>
        </w:rPr>
        <w:t xml:space="preserve">21.5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竣工图 </w:t>
      </w:r>
    </w:p>
    <w:p>
      <w:pPr>
        <w:numPr>
          <w:ilvl w:val="0"/>
          <w:numId w:val="61"/>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提交作审批/再审批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numPr>
          <w:ilvl w:val="0"/>
          <w:numId w:val="61"/>
        </w:numPr>
        <w:ind w:left="1960" w:right="0" w:hanging="622"/>
        <w:rPr>
          <w:rFonts w:hint="eastAsia" w:ascii="宋体" w:hAnsi="宋体" w:eastAsia="宋体" w:cs="宋体"/>
          <w:highlight w:val="none"/>
        </w:rPr>
      </w:pPr>
      <w:r>
        <w:rPr>
          <w:rFonts w:hint="eastAsia" w:ascii="宋体" w:hAnsi="宋体" w:eastAsia="宋体" w:cs="宋体"/>
          <w:highlight w:val="none"/>
        </w:rPr>
        <w:t xml:space="preserve">审批合格后提交作分送用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21.6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操作及维修保养手册 </w:t>
      </w:r>
    </w:p>
    <w:p>
      <w:pPr>
        <w:numPr>
          <w:ilvl w:val="0"/>
          <w:numId w:val="62"/>
        </w:numPr>
        <w:ind w:left="1960" w:right="0" w:hanging="622"/>
        <w:rPr>
          <w:rFonts w:hint="eastAsia" w:ascii="宋体" w:hAnsi="宋体" w:eastAsia="宋体" w:cs="宋体"/>
          <w:highlight w:val="none"/>
        </w:rPr>
      </w:pPr>
      <w:r>
        <w:rPr>
          <w:rFonts w:hint="eastAsia" w:ascii="宋体" w:hAnsi="宋体" w:eastAsia="宋体" w:cs="宋体"/>
          <w:highlight w:val="none"/>
        </w:rPr>
        <w:t xml:space="preserve">提交初稿作审批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ind w:left="1993" w:right="0"/>
        <w:rPr>
          <w:rFonts w:hint="eastAsia" w:ascii="宋体" w:hAnsi="宋体" w:eastAsia="宋体" w:cs="宋体"/>
          <w:highlight w:val="none"/>
        </w:rPr>
      </w:pPr>
      <w:r>
        <w:rPr>
          <w:rFonts w:hint="eastAsia" w:ascii="宋体" w:hAnsi="宋体" w:eastAsia="宋体" w:cs="宋体"/>
          <w:highlight w:val="none"/>
        </w:rPr>
        <w:t xml:space="preserve">（在竣工日前三个月） </w:t>
      </w:r>
    </w:p>
    <w:p>
      <w:pPr>
        <w:numPr>
          <w:ilvl w:val="0"/>
          <w:numId w:val="62"/>
        </w:numPr>
        <w:ind w:left="1960" w:right="0" w:hanging="622"/>
        <w:rPr>
          <w:rFonts w:hint="eastAsia" w:ascii="宋体" w:hAnsi="宋体" w:eastAsia="宋体" w:cs="宋体"/>
          <w:highlight w:val="none"/>
        </w:rPr>
      </w:pPr>
      <w:r>
        <w:rPr>
          <w:rFonts w:hint="eastAsia" w:ascii="宋体" w:hAnsi="宋体" w:eastAsia="宋体" w:cs="宋体"/>
          <w:highlight w:val="none"/>
        </w:rPr>
        <w:t xml:space="preserve">审批合格后提交作分送用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ind w:left="1993" w:right="0"/>
        <w:rPr>
          <w:rFonts w:hint="eastAsia" w:ascii="宋体" w:hAnsi="宋体" w:eastAsia="宋体" w:cs="宋体"/>
          <w:highlight w:val="none"/>
        </w:rPr>
      </w:pPr>
      <w:r>
        <w:rPr>
          <w:rFonts w:hint="eastAsia" w:ascii="宋体" w:hAnsi="宋体" w:eastAsia="宋体" w:cs="宋体"/>
          <w:highlight w:val="none"/>
        </w:rPr>
        <w:t xml:space="preserve">（在竣工日之前）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282" w:right="0"/>
        <w:rPr>
          <w:rFonts w:hint="eastAsia" w:ascii="宋体" w:hAnsi="宋体" w:eastAsia="宋体" w:cs="宋体"/>
          <w:highlight w:val="none"/>
        </w:rPr>
      </w:pPr>
      <w:r>
        <w:rPr>
          <w:rFonts w:hint="eastAsia" w:ascii="宋体" w:hAnsi="宋体" w:eastAsia="宋体" w:cs="宋体"/>
          <w:highlight w:val="none"/>
        </w:rPr>
        <w:t xml:space="preserve">21.7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其它工程进度表/物料表及其它有关文件等 </w:t>
      </w:r>
    </w:p>
    <w:p>
      <w:pPr>
        <w:tabs>
          <w:tab w:val="center" w:pos="3064"/>
          <w:tab w:val="center" w:pos="5306"/>
          <w:tab w:val="center" w:pos="6229"/>
        </w:tabs>
        <w:ind w:left="0" w:right="0" w:firstLine="0"/>
        <w:rPr>
          <w:rFonts w:hint="eastAsia" w:ascii="宋体" w:hAnsi="宋体" w:eastAsia="宋体" w:cs="宋体"/>
          <w:highlight w:val="none"/>
        </w:rPr>
      </w:pPr>
      <w:r>
        <w:rPr>
          <w:rFonts w:hint="eastAsia" w:ascii="宋体" w:hAnsi="宋体" w:eastAsia="宋体" w:cs="宋体"/>
          <w:sz w:val="22"/>
          <w:highlight w:val="none"/>
        </w:rPr>
        <w:tab/>
      </w:r>
      <w:r>
        <w:rPr>
          <w:rFonts w:hint="eastAsia" w:ascii="宋体" w:hAnsi="宋体" w:eastAsia="宋体" w:cs="宋体"/>
          <w:highlight w:val="none"/>
        </w:rPr>
        <w:t xml:space="preserve">1) 定期(最少每月)按进度提交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8 份 </w:t>
      </w:r>
    </w:p>
    <w:p>
      <w:pPr>
        <w:spacing w:after="6" w:line="259" w:lineRule="auto"/>
        <w:ind w:left="272"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备注： </w:t>
      </w:r>
    </w:p>
    <w:p>
      <w:pPr>
        <w:ind w:left="2020" w:right="0"/>
        <w:rPr>
          <w:rFonts w:hint="eastAsia" w:ascii="宋体" w:hAnsi="宋体" w:eastAsia="宋体" w:cs="宋体"/>
          <w:highlight w:val="none"/>
        </w:rPr>
      </w:pPr>
      <w:r>
        <w:rPr>
          <w:rFonts w:hint="eastAsia" w:ascii="宋体" w:hAnsi="宋体" w:eastAsia="宋体" w:cs="宋体"/>
          <w:highlight w:val="none"/>
        </w:rPr>
        <w:t xml:space="preserve">因应工程协调需要或有关政府部门要求而额外需要的图纸/文件，未有计算在上述的数目内，本承包单位仍需负责提供上述额外的图纸/文件包括所需费用。 </w:t>
      </w:r>
    </w:p>
    <w:p>
      <w:pPr>
        <w:spacing w:after="2"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23" w:name="_Toc15022"/>
      <w:r>
        <w:rPr>
          <w:rFonts w:hint="eastAsia" w:ascii="宋体" w:hAnsi="宋体" w:eastAsia="宋体" w:cs="宋体"/>
          <w:b/>
          <w:bCs/>
          <w:highlight w:val="none"/>
        </w:rPr>
        <w:t>图纸和设备编号</w:t>
      </w:r>
      <w:bookmarkEnd w:id="23"/>
      <w:r>
        <w:rPr>
          <w:rFonts w:hint="eastAsia" w:ascii="宋体" w:hAnsi="宋体" w:eastAsia="宋体" w:cs="宋体"/>
          <w:b/>
          <w:bCs/>
          <w:highlight w:val="none"/>
        </w:rPr>
        <w:t xml:space="preserve"> </w:t>
      </w:r>
    </w:p>
    <w:p>
      <w:pPr>
        <w:spacing w:after="0"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348" w:right="0"/>
        <w:rPr>
          <w:rFonts w:hint="eastAsia" w:ascii="宋体" w:hAnsi="宋体" w:eastAsia="宋体" w:cs="宋体"/>
          <w:highlight w:val="none"/>
        </w:rPr>
      </w:pPr>
      <w:r>
        <w:rPr>
          <w:rFonts w:hint="eastAsia" w:ascii="宋体" w:hAnsi="宋体" w:eastAsia="宋体" w:cs="宋体"/>
          <w:highlight w:val="none"/>
        </w:rPr>
        <w:t xml:space="preserve">本工程所有的机电系统的施工图、综合图、大样图和设备的编号和电脑图的编码须有序安排，并按有关专业分类，务求做到每一张图纸及设备都能够容易寻找。 </w:t>
      </w:r>
    </w:p>
    <w:p>
      <w:pPr>
        <w:spacing w:after="1"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24" w:name="_Toc18913"/>
      <w:r>
        <w:rPr>
          <w:rFonts w:hint="eastAsia" w:ascii="宋体" w:hAnsi="宋体" w:eastAsia="宋体" w:cs="宋体"/>
          <w:b/>
          <w:bCs/>
          <w:highlight w:val="none"/>
        </w:rPr>
        <w:t>电磁兼容</w:t>
      </w:r>
      <w:bookmarkEnd w:id="24"/>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63"/>
        </w:numPr>
        <w:ind w:left="1960" w:right="0" w:hanging="622"/>
        <w:rPr>
          <w:rFonts w:hint="eastAsia" w:ascii="宋体" w:hAnsi="宋体" w:eastAsia="宋体" w:cs="宋体"/>
          <w:highlight w:val="none"/>
        </w:rPr>
      </w:pPr>
      <w:r>
        <w:rPr>
          <w:rFonts w:hint="eastAsia" w:ascii="宋体" w:hAnsi="宋体" w:eastAsia="宋体" w:cs="宋体"/>
          <w:highlight w:val="none"/>
        </w:rPr>
        <w:t xml:space="preserve">电磁兼容定义的设备或系统于其本身的电磁环境下正常运作，设备或系统没有产生对其它设备或系统不能兼容的电磁干扰。 </w:t>
      </w:r>
    </w:p>
    <w:p>
      <w:pPr>
        <w:numPr>
          <w:ilvl w:val="0"/>
          <w:numId w:val="63"/>
        </w:numPr>
        <w:ind w:left="1960" w:right="0" w:hanging="622"/>
        <w:rPr>
          <w:rFonts w:hint="eastAsia" w:ascii="宋体" w:hAnsi="宋体" w:eastAsia="宋体" w:cs="宋体"/>
          <w:highlight w:val="none"/>
        </w:rPr>
      </w:pPr>
      <w:r>
        <w:rPr>
          <w:rFonts w:hint="eastAsia" w:ascii="宋体" w:hAnsi="宋体" w:eastAsia="宋体" w:cs="宋体"/>
          <w:highlight w:val="none"/>
        </w:rPr>
        <w:t>合约内可能引致电磁干扰的设备包括以下但不限于此﹕灯具、配备马达运作之设备、低压配电屏及配电网，以及以下相类似设备但不限于</w:t>
      </w:r>
    </w:p>
    <w:p>
      <w:pPr>
        <w:ind w:left="1984" w:right="0"/>
        <w:rPr>
          <w:rFonts w:hint="eastAsia" w:ascii="宋体" w:hAnsi="宋体" w:eastAsia="宋体" w:cs="宋体"/>
          <w:highlight w:val="none"/>
        </w:rPr>
      </w:pPr>
      <w:r>
        <w:rPr>
          <w:rFonts w:hint="eastAsia" w:ascii="宋体" w:hAnsi="宋体" w:eastAsia="宋体" w:cs="宋体"/>
          <w:highlight w:val="none"/>
        </w:rPr>
        <w:t xml:space="preserve">﹕显示器、电脑及通讯系统。 </w:t>
      </w:r>
    </w:p>
    <w:p>
      <w:pPr>
        <w:numPr>
          <w:ilvl w:val="0"/>
          <w:numId w:val="63"/>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承包单位所提供的设备应符合以下对电磁兼容之要求﹕ </w:t>
      </w:r>
    </w:p>
    <w:p>
      <w:pPr>
        <w:numPr>
          <w:ilvl w:val="1"/>
          <w:numId w:val="63"/>
        </w:numPr>
        <w:ind w:right="0" w:hanging="416"/>
        <w:rPr>
          <w:rFonts w:hint="eastAsia" w:ascii="宋体" w:hAnsi="宋体" w:eastAsia="宋体" w:cs="宋体"/>
          <w:highlight w:val="none"/>
        </w:rPr>
      </w:pPr>
      <w:r>
        <w:rPr>
          <w:rFonts w:hint="eastAsia" w:ascii="宋体" w:hAnsi="宋体" w:eastAsia="宋体" w:cs="宋体"/>
          <w:highlight w:val="none"/>
        </w:rPr>
        <w:t xml:space="preserve">中国对电磁兼容之规定 </w:t>
      </w:r>
    </w:p>
    <w:p>
      <w:pPr>
        <w:numPr>
          <w:ilvl w:val="1"/>
          <w:numId w:val="63"/>
        </w:numPr>
        <w:ind w:right="0" w:hanging="416"/>
        <w:rPr>
          <w:rFonts w:hint="eastAsia" w:ascii="宋体" w:hAnsi="宋体" w:eastAsia="宋体" w:cs="宋体"/>
          <w:highlight w:val="none"/>
        </w:rPr>
      </w:pPr>
      <w:r>
        <w:rPr>
          <w:rFonts w:hint="eastAsia" w:ascii="宋体" w:hAnsi="宋体" w:eastAsia="宋体" w:cs="宋体"/>
          <w:highlight w:val="none"/>
        </w:rPr>
        <w:t xml:space="preserve">由工程师审批。 </w:t>
      </w:r>
    </w:p>
    <w:p>
      <w:pPr>
        <w:numPr>
          <w:ilvl w:val="0"/>
          <w:numId w:val="63"/>
        </w:numPr>
        <w:ind w:left="1960" w:right="0" w:hanging="622"/>
        <w:rPr>
          <w:rFonts w:hint="eastAsia" w:ascii="宋体" w:hAnsi="宋体" w:eastAsia="宋体" w:cs="宋体"/>
          <w:highlight w:val="none"/>
        </w:rPr>
      </w:pPr>
      <w:r>
        <w:rPr>
          <w:rFonts w:hint="eastAsia" w:ascii="宋体" w:hAnsi="宋体" w:eastAsia="宋体" w:cs="宋体"/>
          <w:highlight w:val="none"/>
        </w:rPr>
        <w:t xml:space="preserve">电磁兼容的相关标准如下，但不限于此﹕ </w:t>
      </w:r>
    </w:p>
    <w:p>
      <w:pPr>
        <w:numPr>
          <w:ilvl w:val="1"/>
          <w:numId w:val="63"/>
        </w:numPr>
        <w:spacing w:after="3" w:line="256" w:lineRule="auto"/>
        <w:ind w:right="0" w:hanging="416"/>
        <w:rPr>
          <w:rFonts w:hint="eastAsia" w:ascii="宋体" w:hAnsi="宋体" w:eastAsia="宋体" w:cs="宋体"/>
          <w:highlight w:val="none"/>
        </w:rPr>
      </w:pPr>
      <w:r>
        <w:rPr>
          <w:rFonts w:hint="eastAsia" w:ascii="宋体" w:hAnsi="宋体" w:eastAsia="宋体" w:cs="宋体"/>
          <w:highlight w:val="none"/>
        </w:rPr>
        <w:t xml:space="preserve">GB 10436-1989 作业场所微波辐射卫生标准  </w:t>
      </w:r>
    </w:p>
    <w:p>
      <w:pPr>
        <w:numPr>
          <w:ilvl w:val="1"/>
          <w:numId w:val="63"/>
        </w:numPr>
        <w:ind w:right="0" w:hanging="416"/>
        <w:rPr>
          <w:rFonts w:hint="eastAsia" w:ascii="宋体" w:hAnsi="宋体" w:eastAsia="宋体" w:cs="宋体"/>
          <w:highlight w:val="none"/>
        </w:rPr>
      </w:pPr>
      <w:r>
        <w:rPr>
          <w:rFonts w:hint="eastAsia" w:ascii="宋体" w:hAnsi="宋体" w:eastAsia="宋体" w:cs="宋体"/>
          <w:highlight w:val="none"/>
        </w:rPr>
        <w:t xml:space="preserve">GB/T 17624.1-1998 电磁兼容 综述电磁兼容基本术语和定义的应用与解释  </w:t>
      </w:r>
    </w:p>
    <w:p>
      <w:pPr>
        <w:numPr>
          <w:ilvl w:val="1"/>
          <w:numId w:val="63"/>
        </w:numPr>
        <w:spacing w:after="3" w:line="256" w:lineRule="auto"/>
        <w:ind w:right="0" w:hanging="416"/>
        <w:rPr>
          <w:rFonts w:hint="eastAsia" w:ascii="宋体" w:hAnsi="宋体" w:eastAsia="宋体" w:cs="宋体"/>
          <w:highlight w:val="none"/>
        </w:rPr>
      </w:pPr>
      <w:r>
        <w:rPr>
          <w:rFonts w:hint="eastAsia" w:ascii="宋体" w:hAnsi="宋体" w:eastAsia="宋体" w:cs="宋体"/>
          <w:highlight w:val="none"/>
        </w:rPr>
        <w:t xml:space="preserve">GB/T 17626.1-2006 电磁兼容 试验和测量技术 抗扰度试验 总论  </w:t>
      </w:r>
    </w:p>
    <w:p>
      <w:pPr>
        <w:numPr>
          <w:ilvl w:val="1"/>
          <w:numId w:val="63"/>
        </w:numPr>
        <w:ind w:right="0" w:hanging="416"/>
        <w:rPr>
          <w:rFonts w:hint="eastAsia" w:ascii="宋体" w:hAnsi="宋体" w:eastAsia="宋体" w:cs="宋体"/>
          <w:highlight w:val="none"/>
        </w:rPr>
      </w:pPr>
      <w:r>
        <w:rPr>
          <w:rFonts w:hint="eastAsia" w:ascii="宋体" w:hAnsi="宋体" w:eastAsia="宋体" w:cs="宋体"/>
          <w:highlight w:val="none"/>
        </w:rPr>
        <w:t xml:space="preserve">GB/T 17626.2-2006 电磁兼容 试验和测量技术 静电放电抗扰度试验  e) GB/T 17626.3-2006 电磁兼容 试验和测量技术 射频电磁场辐射抗扰度试验  </w:t>
      </w:r>
    </w:p>
    <w:p>
      <w:pPr>
        <w:numPr>
          <w:ilvl w:val="1"/>
          <w:numId w:val="64"/>
        </w:numPr>
        <w:ind w:right="0" w:hanging="360"/>
        <w:rPr>
          <w:rFonts w:hint="eastAsia" w:ascii="宋体" w:hAnsi="宋体" w:eastAsia="宋体" w:cs="宋体"/>
          <w:highlight w:val="none"/>
        </w:rPr>
      </w:pPr>
      <w:r>
        <w:rPr>
          <w:rFonts w:hint="eastAsia" w:ascii="宋体" w:hAnsi="宋体" w:eastAsia="宋体" w:cs="宋体"/>
          <w:highlight w:val="none"/>
        </w:rPr>
        <w:t xml:space="preserve">GB/T 17626.4-2008 电磁兼容 试验和测量技术 电快速瞬变脉冲群抗扰度试验  </w:t>
      </w:r>
    </w:p>
    <w:p>
      <w:pPr>
        <w:numPr>
          <w:ilvl w:val="1"/>
          <w:numId w:val="64"/>
        </w:numPr>
        <w:spacing w:after="3" w:line="256" w:lineRule="auto"/>
        <w:ind w:right="0" w:hanging="360"/>
        <w:rPr>
          <w:rFonts w:hint="eastAsia" w:ascii="宋体" w:hAnsi="宋体" w:eastAsia="宋体" w:cs="宋体"/>
          <w:highlight w:val="none"/>
        </w:rPr>
      </w:pPr>
      <w:r>
        <w:rPr>
          <w:rFonts w:hint="eastAsia" w:ascii="宋体" w:hAnsi="宋体" w:eastAsia="宋体" w:cs="宋体"/>
          <w:highlight w:val="none"/>
        </w:rPr>
        <w:t xml:space="preserve">GB/T 17626.5-2017 电磁兼容 试验和测量技术 浪涌(冲击)抗扰度试验  </w:t>
      </w:r>
    </w:p>
    <w:p>
      <w:pPr>
        <w:numPr>
          <w:ilvl w:val="1"/>
          <w:numId w:val="64"/>
        </w:numPr>
        <w:ind w:right="0" w:hanging="360"/>
        <w:rPr>
          <w:rFonts w:hint="eastAsia" w:ascii="宋体" w:hAnsi="宋体" w:eastAsia="宋体" w:cs="宋体"/>
          <w:highlight w:val="none"/>
        </w:rPr>
      </w:pPr>
      <w:r>
        <w:rPr>
          <w:rFonts w:hint="eastAsia" w:ascii="宋体" w:hAnsi="宋体" w:eastAsia="宋体" w:cs="宋体"/>
          <w:highlight w:val="none"/>
        </w:rPr>
        <w:t xml:space="preserve">GB/T 17626.6-2017 电磁兼容 试验和测量技术 射频场感应的传导骚扰抗扰度  </w:t>
      </w:r>
    </w:p>
    <w:p>
      <w:pPr>
        <w:numPr>
          <w:ilvl w:val="1"/>
          <w:numId w:val="64"/>
        </w:numPr>
        <w:ind w:right="0" w:hanging="360"/>
        <w:rPr>
          <w:rFonts w:hint="eastAsia" w:ascii="宋体" w:hAnsi="宋体" w:eastAsia="宋体" w:cs="宋体"/>
          <w:highlight w:val="none"/>
        </w:rPr>
      </w:pPr>
      <w:r>
        <w:rPr>
          <w:rFonts w:hint="eastAsia" w:ascii="宋体" w:hAnsi="宋体" w:eastAsia="宋体" w:cs="宋体"/>
          <w:highlight w:val="none"/>
        </w:rPr>
        <w:t xml:space="preserve">GB/T 17626.7-2008 电磁兼容 试验和测量技术 供电系统及所连设备谐波、谐间波的测量和测量仪器导则 </w:t>
      </w:r>
    </w:p>
    <w:p>
      <w:pPr>
        <w:numPr>
          <w:ilvl w:val="1"/>
          <w:numId w:val="64"/>
        </w:numPr>
        <w:ind w:right="0" w:hanging="360"/>
        <w:rPr>
          <w:rFonts w:hint="eastAsia" w:ascii="宋体" w:hAnsi="宋体" w:eastAsia="宋体" w:cs="宋体"/>
          <w:highlight w:val="none"/>
        </w:rPr>
      </w:pPr>
      <w:r>
        <w:rPr>
          <w:rFonts w:hint="eastAsia" w:ascii="宋体" w:hAnsi="宋体" w:eastAsia="宋体" w:cs="宋体"/>
          <w:highlight w:val="none"/>
        </w:rPr>
        <w:t xml:space="preserve">GB/T 17626.8-2006 电磁兼容 试验和测量技术 工频磁场抗扰度试验  </w:t>
      </w:r>
    </w:p>
    <w:p>
      <w:pPr>
        <w:numPr>
          <w:ilvl w:val="1"/>
          <w:numId w:val="64"/>
        </w:numPr>
        <w:ind w:right="0" w:hanging="360"/>
        <w:rPr>
          <w:rFonts w:hint="eastAsia" w:ascii="宋体" w:hAnsi="宋体" w:eastAsia="宋体" w:cs="宋体"/>
          <w:highlight w:val="none"/>
        </w:rPr>
      </w:pPr>
      <w:r>
        <w:rPr>
          <w:rFonts w:hint="eastAsia" w:ascii="宋体" w:hAnsi="宋体" w:eastAsia="宋体" w:cs="宋体"/>
          <w:highlight w:val="none"/>
        </w:rPr>
        <w:t xml:space="preserve">GB/T 17626.9-2011 电磁兼容 试验和测量技术 脉冲磁场抗扰度试验  l) GB/T 17626.10-2017 电磁兼容 试验和测量技术 阻尼振荡磁场抗扰度试验  </w:t>
      </w:r>
    </w:p>
    <w:p>
      <w:pPr>
        <w:numPr>
          <w:ilvl w:val="0"/>
          <w:numId w:val="65"/>
        </w:numPr>
        <w:ind w:right="0" w:hanging="360"/>
        <w:rPr>
          <w:rFonts w:hint="eastAsia" w:ascii="宋体" w:hAnsi="宋体" w:eastAsia="宋体" w:cs="宋体"/>
          <w:highlight w:val="none"/>
        </w:rPr>
      </w:pPr>
      <w:r>
        <w:rPr>
          <w:rFonts w:hint="eastAsia" w:ascii="宋体" w:hAnsi="宋体" w:eastAsia="宋体" w:cs="宋体"/>
          <w:highlight w:val="none"/>
        </w:rPr>
        <w:t xml:space="preserve">GB/T 17626.11-2008 电磁兼容 试验和测量技术 电压暂降、短时中断和电压变化抗扰度试验  </w:t>
      </w:r>
    </w:p>
    <w:p>
      <w:pPr>
        <w:numPr>
          <w:ilvl w:val="0"/>
          <w:numId w:val="65"/>
        </w:numPr>
        <w:ind w:right="0" w:hanging="360"/>
        <w:rPr>
          <w:rFonts w:hint="eastAsia" w:ascii="宋体" w:hAnsi="宋体" w:eastAsia="宋体" w:cs="宋体"/>
          <w:highlight w:val="none"/>
        </w:rPr>
      </w:pPr>
      <w:r>
        <w:rPr>
          <w:rFonts w:hint="eastAsia" w:ascii="宋体" w:hAnsi="宋体" w:eastAsia="宋体" w:cs="宋体"/>
          <w:highlight w:val="none"/>
        </w:rPr>
        <w:t xml:space="preserve">GB/T 17626.12-2013 电磁兼容 试验和测量技术 振荡波抗扰度试验  o) GB/T 17799.1-2017 电磁兼容 通用标准 居住、商业和轻工业环境中的抗扰度试验  </w:t>
      </w:r>
    </w:p>
    <w:p>
      <w:pPr>
        <w:numPr>
          <w:ilvl w:val="0"/>
          <w:numId w:val="66"/>
        </w:numPr>
        <w:spacing w:after="3" w:line="256" w:lineRule="auto"/>
        <w:ind w:right="0" w:hanging="360"/>
        <w:rPr>
          <w:rFonts w:hint="eastAsia" w:ascii="宋体" w:hAnsi="宋体" w:eastAsia="宋体" w:cs="宋体"/>
          <w:highlight w:val="none"/>
        </w:rPr>
      </w:pPr>
      <w:r>
        <w:rPr>
          <w:rFonts w:hint="eastAsia" w:ascii="宋体" w:hAnsi="宋体" w:eastAsia="宋体" w:cs="宋体"/>
          <w:highlight w:val="none"/>
        </w:rPr>
        <w:t xml:space="preserve">GB 755-2008 旋转电机 定额和性能  </w:t>
      </w:r>
    </w:p>
    <w:p>
      <w:pPr>
        <w:numPr>
          <w:ilvl w:val="0"/>
          <w:numId w:val="66"/>
        </w:numPr>
        <w:spacing w:after="3" w:line="256" w:lineRule="auto"/>
        <w:ind w:right="0" w:hanging="360"/>
        <w:rPr>
          <w:rFonts w:hint="eastAsia" w:ascii="宋体" w:hAnsi="宋体" w:eastAsia="宋体" w:cs="宋体"/>
          <w:highlight w:val="none"/>
        </w:rPr>
      </w:pPr>
      <w:r>
        <w:rPr>
          <w:rFonts w:hint="eastAsia" w:ascii="宋体" w:hAnsi="宋体" w:eastAsia="宋体" w:cs="宋体"/>
          <w:highlight w:val="none"/>
        </w:rPr>
        <w:t xml:space="preserve">GB/T 6829-2017 剩余电流动作保护电器（RCD）的一般要求  </w:t>
      </w:r>
    </w:p>
    <w:p>
      <w:pPr>
        <w:numPr>
          <w:ilvl w:val="0"/>
          <w:numId w:val="66"/>
        </w:numPr>
        <w:ind w:right="0" w:hanging="360"/>
        <w:rPr>
          <w:rFonts w:hint="eastAsia" w:ascii="宋体" w:hAnsi="宋体" w:eastAsia="宋体" w:cs="宋体"/>
          <w:highlight w:val="none"/>
        </w:rPr>
      </w:pPr>
      <w:r>
        <w:rPr>
          <w:rFonts w:hint="eastAsia" w:ascii="宋体" w:hAnsi="宋体" w:eastAsia="宋体" w:cs="宋体"/>
          <w:highlight w:val="none"/>
        </w:rPr>
        <w:t xml:space="preserve">GB 16787-1997 30MHz～1GHz 声音和电视信号的电缆分配系统辐射测量方法和限值  </w:t>
      </w:r>
    </w:p>
    <w:p>
      <w:pPr>
        <w:numPr>
          <w:ilvl w:val="0"/>
          <w:numId w:val="66"/>
        </w:numPr>
        <w:spacing w:after="3" w:line="256" w:lineRule="auto"/>
        <w:ind w:right="0" w:hanging="360"/>
        <w:rPr>
          <w:rFonts w:hint="eastAsia" w:ascii="宋体" w:hAnsi="宋体" w:eastAsia="宋体" w:cs="宋体"/>
          <w:highlight w:val="none"/>
        </w:rPr>
      </w:pPr>
      <w:r>
        <w:rPr>
          <w:rFonts w:hint="eastAsia" w:ascii="宋体" w:hAnsi="宋体" w:eastAsia="宋体" w:cs="宋体"/>
          <w:highlight w:val="none"/>
        </w:rPr>
        <w:t xml:space="preserve">GB/T 14048.1-2012 低压开关设备和控制设备 第 1 部分：总则  </w:t>
      </w:r>
    </w:p>
    <w:p>
      <w:pPr>
        <w:numPr>
          <w:ilvl w:val="0"/>
          <w:numId w:val="66"/>
        </w:numPr>
        <w:spacing w:after="3" w:line="256" w:lineRule="auto"/>
        <w:ind w:right="0" w:hanging="360"/>
        <w:rPr>
          <w:rFonts w:hint="eastAsia" w:ascii="宋体" w:hAnsi="宋体" w:eastAsia="宋体" w:cs="宋体"/>
          <w:highlight w:val="none"/>
        </w:rPr>
      </w:pPr>
      <w:r>
        <w:rPr>
          <w:rFonts w:hint="eastAsia" w:ascii="宋体" w:hAnsi="宋体" w:eastAsia="宋体" w:cs="宋体"/>
          <w:highlight w:val="none"/>
        </w:rPr>
        <w:t xml:space="preserve">GB/T 14598.26-2015 量度继电器和保护装置 第 26 部分：电磁兼容要求  </w:t>
      </w:r>
    </w:p>
    <w:p>
      <w:pPr>
        <w:numPr>
          <w:ilvl w:val="0"/>
          <w:numId w:val="66"/>
        </w:numPr>
        <w:ind w:right="0" w:hanging="360"/>
        <w:rPr>
          <w:rFonts w:hint="eastAsia" w:ascii="宋体" w:hAnsi="宋体" w:eastAsia="宋体" w:cs="宋体"/>
          <w:highlight w:val="none"/>
        </w:rPr>
      </w:pPr>
      <w:r>
        <w:rPr>
          <w:rFonts w:hint="eastAsia" w:ascii="宋体" w:hAnsi="宋体" w:eastAsia="宋体" w:cs="宋体"/>
          <w:highlight w:val="none"/>
        </w:rPr>
        <w:t xml:space="preserve">GB 16916.1-2014 家用和类似用途的不带过电流保护的剩余电流动作断路器（RCCB）第 1 部分：一般规则  </w:t>
      </w:r>
    </w:p>
    <w:p>
      <w:pPr>
        <w:numPr>
          <w:ilvl w:val="0"/>
          <w:numId w:val="66"/>
        </w:numPr>
        <w:ind w:right="0" w:hanging="360"/>
        <w:rPr>
          <w:rFonts w:hint="eastAsia" w:ascii="宋体" w:hAnsi="宋体" w:eastAsia="宋体" w:cs="宋体"/>
          <w:highlight w:val="none"/>
        </w:rPr>
      </w:pPr>
      <w:r>
        <w:rPr>
          <w:rFonts w:hint="eastAsia" w:ascii="宋体" w:hAnsi="宋体" w:eastAsia="宋体" w:cs="宋体"/>
          <w:highlight w:val="none"/>
        </w:rPr>
        <w:t xml:space="preserve">GB 16917.1-2014 家用和类似用途的带过电流保护的剩余电流动作断路器（RCCB）第 1 部分：一般规则  </w:t>
      </w:r>
    </w:p>
    <w:p>
      <w:pPr>
        <w:numPr>
          <w:ilvl w:val="0"/>
          <w:numId w:val="66"/>
        </w:numPr>
        <w:ind w:right="0" w:hanging="360"/>
        <w:rPr>
          <w:rFonts w:hint="eastAsia" w:ascii="宋体" w:hAnsi="宋体" w:eastAsia="宋体" w:cs="宋体"/>
          <w:highlight w:val="none"/>
        </w:rPr>
      </w:pPr>
      <w:r>
        <w:rPr>
          <w:rFonts w:hint="eastAsia" w:ascii="宋体" w:hAnsi="宋体" w:eastAsia="宋体" w:cs="宋体"/>
          <w:highlight w:val="none"/>
        </w:rPr>
        <w:t>GB 17625.1-2012 电磁兼容 限值 谐波电流发射限值（设备每相输</w:t>
      </w:r>
    </w:p>
    <w:p>
      <w:pPr>
        <w:ind w:left="2383" w:right="0"/>
        <w:rPr>
          <w:rFonts w:hint="eastAsia" w:ascii="宋体" w:hAnsi="宋体" w:eastAsia="宋体" w:cs="宋体"/>
          <w:highlight w:val="none"/>
        </w:rPr>
      </w:pPr>
      <w:r>
        <w:rPr>
          <w:rFonts w:hint="eastAsia" w:ascii="宋体" w:hAnsi="宋体" w:eastAsia="宋体" w:cs="宋体"/>
          <w:highlight w:val="none"/>
        </w:rPr>
        <w:t xml:space="preserve">入电流≤16A）  </w:t>
      </w:r>
    </w:p>
    <w:p>
      <w:pPr>
        <w:numPr>
          <w:ilvl w:val="0"/>
          <w:numId w:val="66"/>
        </w:numPr>
        <w:ind w:right="0" w:hanging="360"/>
        <w:rPr>
          <w:rFonts w:hint="eastAsia" w:ascii="宋体" w:hAnsi="宋体" w:eastAsia="宋体" w:cs="宋体"/>
          <w:highlight w:val="none"/>
        </w:rPr>
      </w:pPr>
      <w:r>
        <w:rPr>
          <w:rFonts w:hint="eastAsia" w:ascii="宋体" w:hAnsi="宋体" w:eastAsia="宋体" w:cs="宋体"/>
          <w:highlight w:val="none"/>
        </w:rPr>
        <w:t xml:space="preserve">GB 17625.2-2007 电磁兼容 限值 对每相额定电流≤16A 且无条件接入的设备在公用低压供电系统中产生的电压变化、电压波动和闪烁的限制。  </w:t>
      </w:r>
    </w:p>
    <w:p>
      <w:pPr>
        <w:numPr>
          <w:ilvl w:val="0"/>
          <w:numId w:val="66"/>
        </w:numPr>
        <w:ind w:right="0" w:hanging="360"/>
        <w:rPr>
          <w:rFonts w:hint="eastAsia" w:ascii="宋体" w:hAnsi="宋体" w:eastAsia="宋体" w:cs="宋体"/>
          <w:highlight w:val="none"/>
        </w:rPr>
      </w:pPr>
      <w:r>
        <w:rPr>
          <w:rFonts w:hint="eastAsia" w:ascii="宋体" w:hAnsi="宋体" w:eastAsia="宋体" w:cs="宋体"/>
          <w:highlight w:val="none"/>
        </w:rPr>
        <w:t xml:space="preserve">GB 17743-2007 电气照明和类似设备的无线电骚扰特性限值和测量方法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应提供电磁兼容之质量及管理计划书，内容应详细说明电磁兼容设定理论、控制及运作及需呈交予工程师审批以显示该呈交能符合技术规格说明书要求。计划书内应明确一名负责或联系人作为联络，负责有关电磁兼容之事宜。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承包单位需要注意电磁兼容之要求，于保修期内对系统或设备之任何更改不应减免被干扰度，或增加放射干扰度，所有电磁兼容之更改均需以画面记录。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承包单位提供的所有设备之电磁波均经过测试及认证，并能达到工程师之满意及最低要求。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承包单位应确保合约范围内设备产生之电磁干扰，不会对敏感电子设备产生不良影响。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带马达运作之设备例如水泵，其干扰电压及电功率应符合 GB 755-</w:t>
      </w:r>
    </w:p>
    <w:p>
      <w:pPr>
        <w:ind w:left="1984" w:right="0"/>
        <w:rPr>
          <w:rFonts w:hint="eastAsia" w:ascii="宋体" w:hAnsi="宋体" w:eastAsia="宋体" w:cs="宋体"/>
          <w:highlight w:val="none"/>
        </w:rPr>
      </w:pPr>
      <w:r>
        <w:rPr>
          <w:rFonts w:hint="eastAsia" w:ascii="宋体" w:hAnsi="宋体" w:eastAsia="宋体" w:cs="宋体"/>
          <w:highlight w:val="none"/>
        </w:rPr>
        <w:t xml:space="preserve">2008 旋转电机 定额和性能。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承包单位应与其它承包单位合作并交换电磁兼容及有关设备性能特点之资料。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承包单位应呈交设计文件，测试报告/认证给工程师审批。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如果测试文件未能满足要求，承包单位需安排工程师于测试中作见证，以显示该设备或系统能够满足相关要求。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任何因承包单位之改动而导致之难以维修，设备间互相干扰，管道路线问题及劣质的施工，承包单位应呈交及提供补救措施。所有因此而产生的费用由承包单位负责。 </w:t>
      </w:r>
    </w:p>
    <w:p>
      <w:pPr>
        <w:numPr>
          <w:ilvl w:val="0"/>
          <w:numId w:val="67"/>
        </w:numPr>
        <w:ind w:left="1960" w:right="0" w:hanging="622"/>
        <w:rPr>
          <w:rFonts w:hint="eastAsia" w:ascii="宋体" w:hAnsi="宋体" w:eastAsia="宋体" w:cs="宋体"/>
          <w:highlight w:val="none"/>
        </w:rPr>
      </w:pPr>
      <w:r>
        <w:rPr>
          <w:rFonts w:hint="eastAsia" w:ascii="宋体" w:hAnsi="宋体" w:eastAsia="宋体" w:cs="宋体"/>
          <w:highlight w:val="none"/>
        </w:rPr>
        <w:t xml:space="preserve">图纸只为示意性质，承包单位需要提供一套全面及可行之设计图纸予工程师审批。 </w:t>
      </w:r>
    </w:p>
    <w:p>
      <w:pPr>
        <w:spacing w:after="0" w:line="259" w:lineRule="auto"/>
        <w:ind w:left="1974"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ind w:left="1350" w:right="0" w:hanging="1078"/>
        <w:rPr>
          <w:rFonts w:hint="eastAsia" w:ascii="宋体" w:hAnsi="宋体" w:eastAsia="宋体" w:cs="宋体"/>
          <w:b/>
          <w:bCs/>
          <w:highlight w:val="none"/>
        </w:rPr>
      </w:pPr>
      <w:bookmarkStart w:id="25" w:name="_Toc32228"/>
      <w:r>
        <w:rPr>
          <w:rFonts w:hint="eastAsia" w:ascii="宋体" w:hAnsi="宋体" w:eastAsia="宋体" w:cs="宋体"/>
          <w:b/>
          <w:bCs/>
          <w:highlight w:val="none"/>
        </w:rPr>
        <w:t>保修期</w:t>
      </w:r>
      <w:bookmarkEnd w:id="25"/>
      <w:r>
        <w:rPr>
          <w:rFonts w:hint="eastAsia" w:ascii="宋体" w:hAnsi="宋体" w:eastAsia="宋体" w:cs="宋体"/>
          <w:b/>
          <w:bCs/>
          <w:highlight w:val="none"/>
        </w:rPr>
        <w:t xml:space="preserve"> </w:t>
      </w:r>
    </w:p>
    <w:p>
      <w:pPr>
        <w:spacing w:after="3" w:line="259" w:lineRule="auto"/>
        <w:ind w:left="1353"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68"/>
        </w:numPr>
        <w:ind w:left="1960" w:right="0" w:hanging="622"/>
        <w:rPr>
          <w:rFonts w:hint="eastAsia" w:ascii="宋体" w:hAnsi="宋体" w:eastAsia="宋体" w:cs="宋体"/>
          <w:highlight w:val="none"/>
        </w:rPr>
      </w:pPr>
      <w:r>
        <w:rPr>
          <w:rFonts w:hint="eastAsia" w:ascii="宋体" w:hAnsi="宋体" w:eastAsia="宋体" w:cs="宋体"/>
          <w:highlight w:val="none"/>
        </w:rPr>
        <w:t>保修期应为由业主/建筑师/工程师所发实际竣工证书上所示的竣工日期之后</w:t>
      </w:r>
      <w:r>
        <w:rPr>
          <w:rFonts w:hint="eastAsia" w:cs="宋体"/>
          <w:highlight w:val="none"/>
          <w:lang w:val="en-US" w:eastAsia="zh-CN"/>
        </w:rPr>
        <w:t>六十</w:t>
      </w:r>
      <w:r>
        <w:rPr>
          <w:rFonts w:hint="eastAsia" w:ascii="宋体" w:hAnsi="宋体" w:eastAsia="宋体" w:cs="宋体"/>
          <w:highlight w:val="none"/>
        </w:rPr>
        <w:t>个月</w:t>
      </w:r>
      <w:r>
        <w:rPr>
          <w:rFonts w:hint="eastAsia" w:cs="宋体"/>
          <w:highlight w:val="none"/>
          <w:lang w:val="en-US" w:eastAsia="zh-CN"/>
        </w:rPr>
        <w:t>(各系统重要的设备，需提供厂家5年或以上质保承诺函，具体内容请查阅下表)</w:t>
      </w:r>
      <w:r>
        <w:rPr>
          <w:rFonts w:hint="eastAsia" w:ascii="宋体" w:hAnsi="宋体" w:eastAsia="宋体" w:cs="宋体"/>
          <w:highlight w:val="none"/>
        </w:rPr>
        <w:t xml:space="preserve">。在保修期内承包单位对各系统设备提供免费的保修服务，包括为进行日常例行保修工作提供所需的劳务及物料。同时无论在任何时间派遣技师作二十四小时随叫随到紧急维修服务。并提交保养报告予业主作参考。保修计划需于上述期间提交业主/建筑师/ 工程师审批。（具体以商务合同条款为准） </w:t>
      </w:r>
    </w:p>
    <w:p>
      <w:pPr>
        <w:numPr>
          <w:ilvl w:val="0"/>
          <w:numId w:val="0"/>
        </w:numPr>
        <w:ind w:left="1338" w:leftChars="0" w:right="0" w:rightChars="0"/>
        <w:rPr>
          <w:rFonts w:hint="eastAsia" w:cs="宋体"/>
          <w:highlight w:val="none"/>
          <w:lang w:val="en-US" w:eastAsia="zh-CN"/>
        </w:rPr>
      </w:pPr>
    </w:p>
    <w:p>
      <w:pPr>
        <w:numPr>
          <w:ilvl w:val="0"/>
          <w:numId w:val="0"/>
        </w:numPr>
        <w:ind w:left="1338" w:leftChars="0" w:right="0" w:rightChars="0"/>
        <w:rPr>
          <w:rFonts w:hint="eastAsia" w:cs="宋体"/>
          <w:highlight w:val="none"/>
          <w:lang w:val="en-US" w:eastAsia="zh-CN"/>
        </w:rPr>
      </w:pPr>
    </w:p>
    <w:p>
      <w:pPr>
        <w:numPr>
          <w:ilvl w:val="0"/>
          <w:numId w:val="0"/>
        </w:numPr>
        <w:ind w:left="1338" w:leftChars="0" w:right="0" w:rightChars="0"/>
        <w:rPr>
          <w:rFonts w:hint="eastAsia" w:cs="宋体"/>
          <w:highlight w:val="none"/>
          <w:lang w:val="en-US" w:eastAsia="zh-CN"/>
        </w:rPr>
      </w:pPr>
    </w:p>
    <w:p>
      <w:pPr>
        <w:numPr>
          <w:ilvl w:val="0"/>
          <w:numId w:val="0"/>
        </w:numPr>
        <w:ind w:left="1338" w:leftChars="0" w:right="0" w:rightChars="0"/>
        <w:rPr>
          <w:rFonts w:hint="eastAsia" w:cs="宋体"/>
          <w:highlight w:val="none"/>
          <w:lang w:val="en-US" w:eastAsia="zh-CN"/>
        </w:rPr>
      </w:pPr>
    </w:p>
    <w:p>
      <w:pPr>
        <w:numPr>
          <w:ilvl w:val="0"/>
          <w:numId w:val="0"/>
        </w:numPr>
        <w:ind w:left="1338" w:leftChars="0" w:right="0" w:rightChars="0"/>
        <w:rPr>
          <w:rFonts w:hint="eastAsia" w:cs="宋体"/>
          <w:highlight w:val="none"/>
          <w:lang w:val="en-US" w:eastAsia="zh-CN"/>
        </w:rPr>
      </w:pPr>
      <w:r>
        <w:rPr>
          <w:rFonts w:hint="eastAsia" w:cs="宋体"/>
          <w:highlight w:val="none"/>
          <w:lang w:val="en-US" w:eastAsia="zh-CN"/>
        </w:rPr>
        <w:t>各系统需厂家出具质保函的内容</w:t>
      </w:r>
    </w:p>
    <w:p>
      <w:pPr>
        <w:numPr>
          <w:ilvl w:val="0"/>
          <w:numId w:val="0"/>
        </w:numPr>
        <w:ind w:left="1338" w:leftChars="0" w:right="0" w:rightChars="0"/>
        <w:rPr>
          <w:rFonts w:hint="eastAsia" w:cs="宋体"/>
          <w:highlight w:val="none"/>
          <w:lang w:val="en-US" w:eastAsia="zh-CN"/>
        </w:rPr>
      </w:pPr>
    </w:p>
    <w:tbl>
      <w:tblPr>
        <w:tblStyle w:val="8"/>
        <w:tblW w:w="8701" w:type="dxa"/>
        <w:tblInd w:w="74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1"/>
        <w:gridCol w:w="2109"/>
        <w:gridCol w:w="4399"/>
        <w:gridCol w:w="1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所属系统</w:t>
            </w:r>
          </w:p>
        </w:tc>
        <w:tc>
          <w:tcPr>
            <w:tcW w:w="4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五年质保的产品内容</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质保时间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综合布线系统</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面板、模块、跳线、配线架、理线架、光纤配线架、耦合器、光纤跳线</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信息引导及发布系统</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网络液晶一体机、视频拼接控制器、拼接屏、</w:t>
            </w:r>
            <w:r>
              <w:rPr>
                <w:rFonts w:hint="eastAsia" w:ascii="宋体" w:hAnsi="宋体" w:eastAsia="宋体" w:cs="宋体"/>
                <w:i w:val="0"/>
                <w:iCs w:val="0"/>
                <w:color w:val="000000"/>
                <w:kern w:val="0"/>
                <w:sz w:val="22"/>
                <w:szCs w:val="22"/>
                <w:u w:val="none"/>
                <w:lang w:val="en-US" w:eastAsia="zh-CN" w:bidi="ar"/>
              </w:rPr>
              <w:t>系统软件平台</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院区标准时钟系统</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指针钟、单面温湿度日历子钟、双面数字子钟、GPS中心母钟、NTP时间服务器、综合时码扩展箱、时码扩展箱</w:t>
            </w:r>
            <w:r>
              <w:rPr>
                <w:rFonts w:hint="eastAsia" w:ascii="宋体" w:hAnsi="宋体" w:eastAsia="宋体" w:cs="宋体"/>
                <w:i w:val="0"/>
                <w:iCs w:val="0"/>
                <w:color w:val="000000"/>
                <w:kern w:val="0"/>
                <w:sz w:val="22"/>
                <w:szCs w:val="22"/>
                <w:u w:val="none"/>
                <w:lang w:val="en-US" w:eastAsia="zh-CN" w:bidi="ar"/>
              </w:rPr>
              <w:t>、系统软件平台</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4</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default"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候诊呼叫信号系统</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default"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诊室门口液晶终端、诊室门口显示器、集中叫号显示屏、LCD拼接屏、视频矩阵、功放、系统软件平台</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5</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会议系统</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话筒、音柱、天花扬声器、功放、数字音频处理器、中控主机、平板电脑、无线AP、视频矩阵、高清云台摄像机、时序电源、升降显示屏、LED屏、视频处理器、调音台、交换机</w:t>
            </w:r>
            <w:r>
              <w:rPr>
                <w:rFonts w:hint="eastAsia" w:ascii="宋体" w:hAnsi="宋体" w:eastAsia="宋体" w:cs="宋体"/>
                <w:i w:val="0"/>
                <w:iCs w:val="0"/>
                <w:color w:val="000000"/>
                <w:kern w:val="0"/>
                <w:sz w:val="22"/>
                <w:szCs w:val="22"/>
                <w:u w:val="none"/>
                <w:lang w:val="en-US" w:eastAsia="zh-CN" w:bidi="ar"/>
              </w:rPr>
              <w:t>系统软件平台</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6</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机房工程</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精密空调、分体空调、新风机、排风机、配电柜、UPS主机、电池、动环系统（包括动环系统各子平台）微模块机柜、</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7</w:t>
            </w:r>
          </w:p>
        </w:tc>
        <w:tc>
          <w:tcPr>
            <w:tcW w:w="2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通用设备</w:t>
            </w:r>
          </w:p>
        </w:tc>
        <w:tc>
          <w:tcPr>
            <w:tcW w:w="4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服务器、工作站</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10" w:leftChars="0" w:right="91" w:rightChars="0" w:hanging="1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w:t>
            </w:r>
          </w:p>
        </w:tc>
      </w:tr>
    </w:tbl>
    <w:p>
      <w:pPr>
        <w:numPr>
          <w:ilvl w:val="0"/>
          <w:numId w:val="0"/>
        </w:numPr>
        <w:ind w:left="1338" w:leftChars="0" w:right="0" w:rightChars="0"/>
        <w:rPr>
          <w:rFonts w:hint="default" w:cs="宋体"/>
          <w:highlight w:val="none"/>
          <w:lang w:val="en-US" w:eastAsia="zh-CN"/>
        </w:rPr>
      </w:pPr>
    </w:p>
    <w:p>
      <w:pPr>
        <w:spacing w:after="3" w:line="259" w:lineRule="auto"/>
        <w:ind w:left="1974" w:right="0" w:firstLine="0"/>
        <w:rPr>
          <w:rFonts w:hint="eastAsia" w:ascii="宋体" w:hAnsi="宋体" w:eastAsia="宋体" w:cs="宋体"/>
          <w:highlight w:val="none"/>
        </w:rPr>
      </w:pPr>
      <w:r>
        <w:rPr>
          <w:rFonts w:hint="eastAsia" w:ascii="宋体" w:hAnsi="宋体" w:eastAsia="宋体" w:cs="宋体"/>
          <w:highlight w:val="none"/>
        </w:rPr>
        <w:t xml:space="preserve"> </w:t>
      </w:r>
    </w:p>
    <w:p>
      <w:pPr>
        <w:numPr>
          <w:ilvl w:val="0"/>
          <w:numId w:val="68"/>
        </w:numPr>
        <w:ind w:left="1960" w:right="0" w:hanging="622"/>
        <w:rPr>
          <w:rFonts w:hint="eastAsia" w:ascii="宋体" w:hAnsi="宋体" w:eastAsia="宋体" w:cs="宋体"/>
          <w:highlight w:val="none"/>
        </w:rPr>
      </w:pPr>
      <w:r>
        <w:rPr>
          <w:rFonts w:hint="eastAsia" w:ascii="宋体" w:hAnsi="宋体" w:eastAsia="宋体" w:cs="宋体"/>
          <w:highlight w:val="none"/>
        </w:rPr>
        <w:t xml:space="preserve">于保修期满，所有系统包括过滤器等须予清洗，清洁程度如同全新一样。（具体以商务合同条款为准） </w:t>
      </w:r>
      <w:bookmarkStart w:id="26" w:name="_GoBack"/>
      <w:bookmarkEnd w:id="26"/>
    </w:p>
    <w:sectPr>
      <w:headerReference r:id="rId13" w:type="first"/>
      <w:footerReference r:id="rId16" w:type="first"/>
      <w:headerReference r:id="rId11" w:type="default"/>
      <w:footerReference r:id="rId14" w:type="default"/>
      <w:headerReference r:id="rId12" w:type="even"/>
      <w:footerReference r:id="rId15" w:type="even"/>
      <w:pgSz w:w="11909" w:h="16834"/>
      <w:pgMar w:top="1466" w:right="1198" w:bottom="1447" w:left="1168" w:header="733" w:footer="732"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180" w:firstLineChars="100"/>
      <w:rPr>
        <w:rFonts w:ascii="Times New Roman" w:hAnsi="Times New Roman" w:eastAsia="Times New Roman" w:cs="Times New Roman"/>
        <w:sz w:val="18"/>
      </w:rPr>
    </w:pPr>
    <w:r>
      <w:rPr>
        <w:sz w:val="18"/>
      </w:rPr>
      <mc:AlternateContent>
        <mc:Choice Requires="wpg">
          <w:drawing>
            <wp:anchor distT="0" distB="0" distL="114300" distR="114300" simplePos="0" relativeHeight="251662336" behindDoc="0" locked="0" layoutInCell="1" allowOverlap="1">
              <wp:simplePos x="0" y="0"/>
              <wp:positionH relativeFrom="page">
                <wp:posOffset>857885</wp:posOffset>
              </wp:positionH>
              <wp:positionV relativeFrom="page">
                <wp:posOffset>9837420</wp:posOffset>
              </wp:positionV>
              <wp:extent cx="5772150" cy="6350"/>
              <wp:effectExtent l="0" t="0" r="0" b="0"/>
              <wp:wrapSquare wrapText="bothSides"/>
              <wp:docPr id="3"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67.55pt;margin-top:774.6pt;height:0.5pt;width:454.5pt;mso-position-horizontal-relative:page;mso-position-vertical-relative:page;mso-wrap-distance-bottom:0pt;mso-wrap-distance-left:9pt;mso-wrap-distance-right:9pt;mso-wrap-distance-top:0pt;z-index:251662336;mso-width-relative:page;mso-height-relative:page;" coordsize="5771896,6096" o:gfxdata="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GEKTPbAAAADgEA&#10;AA8AAAAAAAAAAQAgAAAAIgAAAGRycy9kb3ducmV2LnhtbFBLAQIUABQAAAAIAIdO4kC/UpnoUAIA&#10;ANoFAAAOAAAAAAAAAAEAIAAAACoBAABkcnMvZTJvRG9jLnhtbFBLBQYAAAAABgAGAFkBAADsBQAA&#10;AAA=&#10;">
              <o:lock v:ext="edit" aspectratio="f"/>
              <v:shape id="Shape 46679" o:spid="_x0000_s1026" o:spt="100" style="position:absolute;left:0;top:0;height:9144;width:5771896;" fillcolor="#000000" filled="t" stroked="f" coordsize="5771896,9144" o:gfxdata="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2KQPvQAA&#10;ANoAAAAPAAAAAAAAAAEAIAAAACIAAABkcnMvZG93bnJldi54bWxQSwECFAAUAAAACACHTuJAMy8F&#10;njsAAAA5AAAAEAAAAAAAAAABACAAAAAMAQAAZHJzL3NoYXBleG1sLnhtbFBLBQYAAAAABgAGAFsB&#10;AAC2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w:t>
    </w:r>
  </w:p>
  <w:p>
    <w:pPr>
      <w:spacing w:after="0" w:line="262" w:lineRule="auto"/>
      <w:ind w:left="0" w:right="914" w:firstLine="180" w:firstLineChars="100"/>
    </w:pPr>
    <w:r>
      <w:rPr>
        <w:sz w:val="18"/>
      </w:rPr>
      <w:t>技术规格说明书</w:t>
    </w:r>
    <w:r>
      <w:rPr>
        <w:rFonts w:ascii="Times New Roman" w:hAnsi="Times New Roman" w:eastAsia="Times New Roman" w:cs="Times New Roman"/>
        <w:sz w:val="18"/>
      </w:rPr>
      <w:t>(</w:t>
    </w:r>
    <w:r>
      <w:rPr>
        <w:sz w:val="18"/>
      </w:rPr>
      <w:t>第一部分</w:t>
    </w:r>
    <w:r>
      <w:rPr>
        <w:rFonts w:ascii="Times New Roman" w:hAnsi="Times New Roman" w:eastAsia="Times New Roman" w:cs="Times New Roman"/>
        <w:sz w:val="1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180" w:firstLineChars="100"/>
      <w:rPr>
        <w:rFonts w:ascii="Times New Roman" w:hAnsi="Times New Roman" w:eastAsia="Times New Roman" w:cs="Times New Roman"/>
        <w:sz w:val="18"/>
      </w:rPr>
    </w:pPr>
    <w:r>
      <w:rPr>
        <w:sz w:val="18"/>
      </w:rPr>
      <mc:AlternateContent>
        <mc:Choice Requires="wpg">
          <w:drawing>
            <wp:anchor distT="0" distB="0" distL="114300" distR="114300" simplePos="0" relativeHeight="251663360" behindDoc="0" locked="0" layoutInCell="1" allowOverlap="1">
              <wp:simplePos x="0" y="0"/>
              <wp:positionH relativeFrom="page">
                <wp:posOffset>880745</wp:posOffset>
              </wp:positionH>
              <wp:positionV relativeFrom="page">
                <wp:posOffset>9730740</wp:posOffset>
              </wp:positionV>
              <wp:extent cx="5772150" cy="6350"/>
              <wp:effectExtent l="0" t="0" r="0" b="0"/>
              <wp:wrapSquare wrapText="bothSides"/>
              <wp:docPr id="5"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6"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69.35pt;margin-top:766.2pt;height:0.5pt;width:454.5pt;mso-position-horizontal-relative:page;mso-position-vertical-relative:page;mso-wrap-distance-bottom:0pt;mso-wrap-distance-left:9pt;mso-wrap-distance-right:9pt;mso-wrap-distance-top:0pt;z-index:251663360;mso-width-relative:page;mso-height-relative:page;" coordsize="5771896,6096" o:gfxdata="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7hSZt2wAAAA4B&#10;AAAPAAAAAAAAAAEAIAAAACIAAABkcnMvZG93bnJldi54bWxQSwECFAAUAAAACACHTuJAK2Kud1EC&#10;AADaBQAADgAAAAAAAAABACAAAAAqAQAAZHJzL2Uyb0RvYy54bWxQSwUGAAAAAAYABgBZAQAA7QUA&#10;AAAA&#10;">
              <o:lock v:ext="edit" aspectratio="f"/>
              <v:shape id="Shape 46679" o:spid="_x0000_s1026" o:spt="100" style="position:absolute;left:0;top:0;height:9144;width:5771896;" fillcolor="#000000" filled="t" stroked="f" coordsize="5771896,9144" o:gfxdata="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0af474A&#10;AADa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21</w:t>
    </w:r>
    <w:r>
      <w:rPr>
        <w:sz w:val="18"/>
      </w:rPr>
      <w:fldChar w:fldCharType="end"/>
    </w:r>
    <w:r>
      <w:rPr>
        <w:sz w:val="18"/>
      </w:rPr>
      <w:t xml:space="preserve"> 页</w:t>
    </w:r>
  </w:p>
  <w:p>
    <w:pPr>
      <w:spacing w:after="0" w:line="262" w:lineRule="auto"/>
      <w:ind w:left="0" w:right="914" w:firstLine="180" w:firstLineChars="100"/>
    </w:pPr>
    <w:r>
      <w:rPr>
        <w:sz w:val="18"/>
      </w:rPr>
      <w:t>技术规格说明书</w:t>
    </w:r>
    <w:r>
      <w:rPr>
        <w:rFonts w:ascii="Times New Roman" w:hAnsi="Times New Roman" w:eastAsia="Times New Roman" w:cs="Times New Roman"/>
        <w:sz w:val="18"/>
      </w:rPr>
      <w:t>(</w:t>
    </w:r>
    <w:r>
      <w:rPr>
        <w:sz w:val="18"/>
      </w:rPr>
      <w:t>第一部分</w:t>
    </w:r>
    <w:r>
      <w:rPr>
        <w:rFonts w:ascii="Times New Roman" w:hAnsi="Times New Roman" w:eastAsia="Times New Roman" w:cs="Times New Roman"/>
        <w:sz w:val="18"/>
      </w:rPr>
      <w:t xml:space="preserve">)  </w:t>
    </w:r>
  </w:p>
  <w:p>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194" w:firstLine="0"/>
      <w:jc w:val="right"/>
    </w:pPr>
    <w:r>
      <w:rPr>
        <w:rFonts w:ascii="微软雅黑" w:hAnsi="微软雅黑" w:eastAsia="微软雅黑" w:cs="微软雅黑"/>
        <w:sz w:val="18"/>
        <w:u w:val="single" w:color="000000"/>
      </w:rPr>
      <w:t xml:space="preserve"> </w:t>
    </w:r>
    <w:r>
      <w:rPr>
        <w:rFonts w:ascii="微软雅黑" w:hAnsi="微软雅黑" w:eastAsia="微软雅黑" w:cs="微软雅黑"/>
        <w:sz w:val="18"/>
        <w:u w:val="single" w:color="000000"/>
      </w:rPr>
      <w:tab/>
    </w:r>
    <w:r>
      <w:rPr>
        <w:rFonts w:ascii="微软雅黑" w:hAnsi="微软雅黑" w:eastAsia="微软雅黑" w:cs="微软雅黑"/>
        <w:sz w:val="18"/>
      </w:rPr>
      <w:t xml:space="preserve"> </w: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第</w:t>
    </w:r>
    <w:r>
      <w:fldChar w:fldCharType="begin"/>
    </w:r>
    <w:r>
      <w:instrText xml:space="preserve"> PAGE   \* MERGEFORMAT </w:instrText>
    </w:r>
    <w:r>
      <w:fldChar w:fldCharType="separate"/>
    </w:r>
    <w:r>
      <w:rPr>
        <w:sz w:val="18"/>
      </w:rPr>
      <w:t>1</w:t>
    </w:r>
    <w:r>
      <w:rPr>
        <w:sz w:val="18"/>
      </w:rPr>
      <w:fldChar w:fldCharType="end"/>
    </w:r>
    <w:r>
      <w:rPr>
        <w:sz w:val="18"/>
      </w:rPr>
      <w:t>页技术规格说明书</w:t>
    </w:r>
    <w:r>
      <w:rPr>
        <w:rFonts w:ascii="Times New Roman" w:hAnsi="Times New Roman" w:eastAsia="Times New Roman" w:cs="Times New Roman"/>
        <w:sz w:val="18"/>
      </w:rPr>
      <w:t>(</w:t>
    </w:r>
    <w:r>
      <w:rPr>
        <w:sz w:val="18"/>
      </w:rPr>
      <w:t>第一部分</w:t>
    </w:r>
    <w:r>
      <w:rPr>
        <w:rFonts w:ascii="Times New Roman" w:hAnsi="Times New Roman" w:eastAsia="Times New Roman" w:cs="Times New Roman"/>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p>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0"/>
      <w:rPr>
        <w:sz w:val="18"/>
      </w:rPr>
    </w:pPr>
    <w:r>
      <w:rPr>
        <w:sz w:val="18"/>
      </w:rPr>
      <mc:AlternateContent>
        <mc:Choice Requires="wpg">
          <w:drawing>
            <wp:anchor distT="0" distB="0" distL="114300" distR="114300" simplePos="0" relativeHeight="251659264"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44876"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6679"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59264;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IY3N/YAAAADAEAAA8A&#10;AAAAAAAAAQAgAAAAIgAAAGRycy9kb3ducmV2LnhtbFBLAQIUABQAAAAIAIdO4kDScQmxUAIAAOIF&#10;AAAOAAAAAAAAAAEAIAAAACcBAABkcnMvZTJvRG9jLnhtbFBLBQYAAAAABgAGAFkBAADpBQAAAAA=&#10;">
              <o:lock v:ext="edit" aspectratio="f"/>
              <v:shape id="Shape 46679" o:spid="_x0000_s1026" o:spt="100" style="position:absolute;left:0;top:0;height:9144;width:5771896;" fillcolor="#000000" filled="t" stroked="f" coordsize="5771896,9144" o:gfxdata="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Wf&#10;EUzCAAAA3gAAAA8AAAAAAAAAAQAgAAAAIgAAAGRycy9kb3ducmV2LnhtbFBLAQIUABQAAAAIAIdO&#10;4kAzLwWeOwAAADkAAAAQAAAAAAAAAAEAIAAAABEBAABkcnMvc2hhcGV4bWwueG1sUEsFBgAAAAAG&#10;AAYAWwEAALsDAAAAAA==&#10;" path="m0,0l5771896,0,5771896,9144,0,9144,0,0e">
                <v:fill on="t" focussize="0,0"/>
                <v:stroke on="f" weight="0pt" miterlimit="1" joinstyle="miter"/>
                <v:imagedata o:title=""/>
                <o:lock v:ext="edit" aspectratio="f"/>
              </v:shape>
              <w10:wrap type="square"/>
            </v:group>
          </w:pict>
        </mc:Fallback>
      </mc:AlternateContent>
    </w:r>
    <w:r>
      <w:rPr>
        <w:rFonts w:hint="eastAsia"/>
        <w:sz w:val="18"/>
      </w:rPr>
      <w:t>中山大学附属第一医院医学</w:t>
    </w:r>
    <w:r>
      <w:rPr>
        <w:rFonts w:hint="eastAsia"/>
        <w:sz w:val="18"/>
        <w:lang w:val="en-US" w:eastAsia="zh-CN"/>
      </w:rPr>
      <w:t>数据中心及配套建设工程</w:t>
    </w:r>
    <w:r>
      <w:rPr>
        <w:sz w:val="1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0"/>
      <w:rPr>
        <w:sz w:val="18"/>
      </w:rPr>
    </w:pPr>
    <w:r>
      <w:rPr>
        <w:rFonts w:hint="eastAsia"/>
        <w:sz w:val="18"/>
      </w:rPr>
      <w:t>中山大学附属第一医院</w:t>
    </w:r>
    <w:r>
      <w:rPr>
        <w:rFonts w:hint="eastAsia"/>
        <w:sz w:val="18"/>
        <w:lang w:val="en-US" w:eastAsia="zh-CN"/>
      </w:rPr>
      <w:t>数据中心及配套建设工程</w:t>
    </w:r>
    <w:r>
      <w:rPr>
        <w:sz w:val="18"/>
      </w:rPr>
      <mc:AlternateContent>
        <mc:Choice Requires="wpg">
          <w:drawing>
            <wp:anchor distT="0" distB="0" distL="114300" distR="114300" simplePos="0" relativeHeight="251661312"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1"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2"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61312;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hjc39gAAAAMAQAADwAA&#10;AAAAAAABACAAAAAiAAAAZHJzL2Rvd25yZXYueG1sUEsBAhQAFAAAAAgAh07iQIWTWLdPAgAA2gUA&#10;AA4AAAAAAAAAAQAgAAAAJwEAAGRycy9lMm9Eb2MueG1sUEsFBgAAAAAGAAYAWQEAAOgFAAAAAA==&#10;">
              <o:lock v:ext="edit" aspectratio="f"/>
              <v:shape id="Shape 46679" o:spid="_x0000_s1026" o:spt="100" style="position:absolute;left:0;top:0;height:9144;width:5771896;" fillcolor="#000000" filled="t" stroked="f" coordsize="5771896,9144" o:gfxdata="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H2Z4L4A&#10;AADa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r>
      <w:rPr>
        <w:sz w:val="18"/>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pPr>
    <w:r>
      <w:rPr>
        <w:rFonts w:ascii="Calibri" w:hAnsi="Calibri" w:eastAsia="Calibri" w:cs="Calibri"/>
        <w:sz w:val="22"/>
      </w:rPr>
      <mc:AlternateContent>
        <mc:Choice Requires="wpg">
          <w:drawing>
            <wp:anchor distT="0" distB="0" distL="114300" distR="114300" simplePos="0" relativeHeight="251660288" behindDoc="0" locked="0" layoutInCell="1" allowOverlap="1">
              <wp:simplePos x="0" y="0"/>
              <wp:positionH relativeFrom="page">
                <wp:posOffset>895350</wp:posOffset>
              </wp:positionH>
              <wp:positionV relativeFrom="page">
                <wp:posOffset>756285</wp:posOffset>
              </wp:positionV>
              <wp:extent cx="5772150" cy="6350"/>
              <wp:effectExtent l="0" t="0" r="0" b="0"/>
              <wp:wrapSquare wrapText="bothSides"/>
              <wp:docPr id="44825" name="Group 44825"/>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6677" name="Shape 46677"/>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25" o:spid="_x0000_s1026" o:spt="203" style="position:absolute;left:0pt;margin-left:70.5pt;margin-top:59.55pt;height:0.5pt;width:454.5pt;mso-position-horizontal-relative:page;mso-position-vertical-relative:page;mso-wrap-distance-bottom:0pt;mso-wrap-distance-left:9pt;mso-wrap-distance-right:9pt;mso-wrap-distance-top:0pt;z-index:251660288;mso-width-relative:page;mso-height-relative:page;" coordsize="5771896,6096" o:gfxdata="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tB7k92AAAAAwBAAAP&#10;AAAAAAAAAAEAIAAAACIAAABkcnMvZG93bnJldi54bWxQSwECFAAUAAAACACHTuJAU9MkKVECAADi&#10;BQAADgAAAAAAAAABACAAAAAnAQAAZHJzL2Uyb0RvYy54bWxQSwUGAAAAAAYABgBZAQAA6gUAAAAA&#10;">
              <o:lock v:ext="edit" aspectratio="f"/>
              <v:shape id="Shape 46677" o:spid="_x0000_s1026" o:spt="100" style="position:absolute;left:0;top:0;height:9144;width:5771896;" fillcolor="#000000" filled="t" stroked="f" coordsize="5771896,9144" o:gfxdata="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tM&#10;IKXCAAAA3gAAAA8AAAAAAAAAAQAgAAAAIgAAAGRycy9kb3ducmV2LnhtbFBLAQIUABQAAAAIAIdO&#10;4kAzLwWeOwAAADkAAAAQAAAAAAAAAAEAIAAAABEBAABkcnMvc2hhcGV4bWwueG1sUEsFBgAAAAAG&#10;AAYAWwEAALsDAAAAAA==&#10;" path="m0,0l5771896,0,5771896,9144,0,9144,0,0e">
                <v:fill on="t" focussize="0,0"/>
                <v:stroke on="f" weight="0pt" miterlimit="1" joinstyle="miter"/>
                <v:imagedata o:title=""/>
                <o:lock v:ext="edit" aspectratio="f"/>
              </v:shape>
              <w10:wrap type="square"/>
            </v:group>
          </w:pict>
        </mc:Fallback>
      </mc:AlternateContent>
    </w:r>
    <w:r>
      <w:rPr>
        <w:sz w:val="18"/>
      </w:rPr>
      <w:t>奥雅纳工程顾问</w:t>
    </w:r>
    <w:r>
      <w:rPr>
        <w:rFonts w:ascii="微软雅黑" w:hAnsi="微软雅黑" w:eastAsia="微软雅黑" w:cs="微软雅黑"/>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r>
      <w:rPr>
        <w:sz w:val="18"/>
      </w:rPr>
      <w:t xml:space="preserve">天河商旅 </w:t>
    </w:r>
    <w:r>
      <w:rPr>
        <w:rFonts w:ascii="Times New Roman" w:hAnsi="Times New Roman" w:eastAsia="Times New Roman" w:cs="Times New Roman"/>
        <w:sz w:val="18"/>
      </w:rPr>
      <w:t>12-1</w:t>
    </w:r>
    <w:r>
      <w:rPr>
        <w:sz w:val="18"/>
      </w:rPr>
      <w:t>、</w:t>
    </w:r>
    <w:r>
      <w:rPr>
        <w:rFonts w:ascii="Times New Roman" w:hAnsi="Times New Roman" w:eastAsia="Times New Roman" w:cs="Times New Roman"/>
        <w:sz w:val="18"/>
      </w:rPr>
      <w:t xml:space="preserve">5 </w:t>
    </w:r>
    <w:r>
      <w:rPr>
        <w:sz w:val="18"/>
      </w:rPr>
      <w:t>项目</w:t>
    </w:r>
    <w:r>
      <w:rPr>
        <w:rFonts w:ascii="Times New Roman" w:hAnsi="Times New Roman" w:eastAsia="Times New Roman" w:cs="Times New Roman"/>
        <w:sz w:val="18"/>
      </w:rPr>
      <w:t xml:space="preserve"> </w:t>
    </w:r>
  </w:p>
  <w:p>
    <w:pPr>
      <w:spacing w:after="0" w:line="259" w:lineRule="auto"/>
      <w:ind w:left="272" w:right="0" w:firstLine="0"/>
    </w:pPr>
    <w:r>
      <w:rPr>
        <w:rFonts w:ascii="Times New Roman" w:hAnsi="Times New Roman" w:eastAsia="Times New Roman" w:cs="Times New Roman"/>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94466"/>
    <w:multiLevelType w:val="multilevel"/>
    <w:tmpl w:val="00394466"/>
    <w:lvl w:ilvl="0" w:tentative="0">
      <w:start w:val="1"/>
      <w:numFmt w:val="decimal"/>
      <w:lvlText w:val="%1)"/>
      <w:lvlJc w:val="left"/>
      <w:pPr>
        <w:ind w:left="2148"/>
      </w:pPr>
      <w:rPr>
        <w:rFonts w:hint="default" w:ascii="Times New Roman" w:hAnsi="Times New Roman"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54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26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98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70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42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14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86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58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
    <w:nsid w:val="01B81408"/>
    <w:multiLevelType w:val="multilevel"/>
    <w:tmpl w:val="01B81408"/>
    <w:lvl w:ilvl="0" w:tentative="0">
      <w:start w:val="1"/>
      <w:numFmt w:val="decimal"/>
      <w:lvlText w:val="%1)"/>
      <w:lvlJc w:val="left"/>
      <w:pPr>
        <w:ind w:left="2058"/>
      </w:pPr>
      <w:rPr>
        <w:rFonts w:hint="default" w:ascii="Times New Roman" w:hAnsi="Times New Roman"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
    <w:nsid w:val="037665E0"/>
    <w:multiLevelType w:val="multilevel"/>
    <w:tmpl w:val="037665E0"/>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1"/>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
    <w:nsid w:val="06727835"/>
    <w:multiLevelType w:val="multilevel"/>
    <w:tmpl w:val="06727835"/>
    <w:lvl w:ilvl="0" w:tentative="0">
      <w:start w:val="8"/>
      <w:numFmt w:val="decimal"/>
      <w:lvlText w:val="%1)"/>
      <w:lvlJc w:val="left"/>
      <w:pPr>
        <w:ind w:left="187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83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55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27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99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71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43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15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87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
    <w:nsid w:val="08236070"/>
    <w:multiLevelType w:val="multilevel"/>
    <w:tmpl w:val="08236070"/>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
    <w:nsid w:val="09511CB9"/>
    <w:multiLevelType w:val="multilevel"/>
    <w:tmpl w:val="09511CB9"/>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92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49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3"/>
      <w:numFmt w:val="lowerLetter"/>
      <w:lvlRestart w:val="0"/>
      <w:lvlText w:val="%4)"/>
      <w:lvlJc w:val="left"/>
      <w:pPr>
        <w:ind w:left="24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78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50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22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94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66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
    <w:nsid w:val="0AFE6D36"/>
    <w:multiLevelType w:val="multilevel"/>
    <w:tmpl w:val="0AFE6D36"/>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7"/>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7">
    <w:nsid w:val="10066393"/>
    <w:multiLevelType w:val="multilevel"/>
    <w:tmpl w:val="10066393"/>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3"/>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8">
    <w:nsid w:val="126617B2"/>
    <w:multiLevelType w:val="multilevel"/>
    <w:tmpl w:val="126617B2"/>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9">
    <w:nsid w:val="15F761F0"/>
    <w:multiLevelType w:val="multilevel"/>
    <w:tmpl w:val="15F761F0"/>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56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77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lowerLetter"/>
      <w:lvlRestart w:val="0"/>
      <w:lvlText w:val="%4)"/>
      <w:lvlJc w:val="left"/>
      <w:pPr>
        <w:ind w:left="243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70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42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14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86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58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0">
    <w:nsid w:val="19E523C6"/>
    <w:multiLevelType w:val="multilevel"/>
    <w:tmpl w:val="19E523C6"/>
    <w:lvl w:ilvl="0" w:tentative="0">
      <w:start w:val="1"/>
      <w:numFmt w:val="decimal"/>
      <w:lvlText w:val="%1)"/>
      <w:lvlJc w:val="left"/>
      <w:pPr>
        <w:ind w:left="187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1">
    <w:nsid w:val="1AA5724C"/>
    <w:multiLevelType w:val="multilevel"/>
    <w:tmpl w:val="1AA5724C"/>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6"/>
      <w:numFmt w:val="lowerLetter"/>
      <w:lvlText w:val="%2)"/>
      <w:lvlJc w:val="left"/>
      <w:pPr>
        <w:ind w:left="237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5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2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9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1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2">
    <w:nsid w:val="1CF5115B"/>
    <w:multiLevelType w:val="multilevel"/>
    <w:tmpl w:val="1CF5115B"/>
    <w:lvl w:ilvl="0" w:tentative="0">
      <w:start w:val="1"/>
      <w:numFmt w:val="decimal"/>
      <w:lvlText w:val="%1)"/>
      <w:lvlJc w:val="left"/>
      <w:pPr>
        <w:ind w:left="2148"/>
      </w:pPr>
      <w:rPr>
        <w:rFonts w:hint="default" w:ascii="Times New Roman" w:hAnsi="Times New Roman"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46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18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90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62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34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06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78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50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3">
    <w:nsid w:val="1DB55C56"/>
    <w:multiLevelType w:val="multilevel"/>
    <w:tmpl w:val="1DB55C56"/>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4">
    <w:nsid w:val="1F175BEB"/>
    <w:multiLevelType w:val="multilevel"/>
    <w:tmpl w:val="1F175BEB"/>
    <w:lvl w:ilvl="0" w:tentative="0">
      <w:start w:val="20"/>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2"/>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5"/>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5">
    <w:nsid w:val="21A2053F"/>
    <w:multiLevelType w:val="multilevel"/>
    <w:tmpl w:val="21A2053F"/>
    <w:lvl w:ilvl="0" w:tentative="0">
      <w:start w:val="1"/>
      <w:numFmt w:val="decimal"/>
      <w:lvlText w:val="%1)"/>
      <w:lvlJc w:val="left"/>
      <w:pPr>
        <w:ind w:left="169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6">
    <w:nsid w:val="21D07030"/>
    <w:multiLevelType w:val="multilevel"/>
    <w:tmpl w:val="21D07030"/>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7">
    <w:nsid w:val="230A64EC"/>
    <w:multiLevelType w:val="multilevel"/>
    <w:tmpl w:val="230A64EC"/>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5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7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59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1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3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5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7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19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8">
    <w:nsid w:val="25474A5F"/>
    <w:multiLevelType w:val="multilevel"/>
    <w:tmpl w:val="25474A5F"/>
    <w:lvl w:ilvl="0" w:tentative="0">
      <w:start w:val="1"/>
      <w:numFmt w:val="lowerLetter"/>
      <w:lvlText w:val="%1)"/>
      <w:lvlJc w:val="left"/>
      <w:pPr>
        <w:ind w:left="2399"/>
      </w:pPr>
      <w:rPr>
        <w:rFonts w:hint="default" w:ascii="Times New Roman" w:hAnsi="Times New Roman"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64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36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08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80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52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24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96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68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9">
    <w:nsid w:val="26594BF9"/>
    <w:multiLevelType w:val="multilevel"/>
    <w:tmpl w:val="26594BF9"/>
    <w:lvl w:ilvl="0" w:tentative="0">
      <w:start w:val="1"/>
      <w:numFmt w:val="decimal"/>
      <w:lvlText w:val="%1)"/>
      <w:lvlJc w:val="left"/>
      <w:pPr>
        <w:ind w:left="1878"/>
      </w:pPr>
      <w:rPr>
        <w:rFonts w:hint="default" w:ascii="Times New Roman" w:hAnsi="Times New Roman"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4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1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8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5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0">
    <w:nsid w:val="2A901A58"/>
    <w:multiLevelType w:val="multilevel"/>
    <w:tmpl w:val="2A901A58"/>
    <w:lvl w:ilvl="0" w:tentative="0">
      <w:start w:val="5"/>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18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90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62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34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06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78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50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22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1">
    <w:nsid w:val="2CA14E0A"/>
    <w:multiLevelType w:val="multilevel"/>
    <w:tmpl w:val="2CA14E0A"/>
    <w:lvl w:ilvl="0" w:tentative="0">
      <w:start w:val="1"/>
      <w:numFmt w:val="decimal"/>
      <w:lvlText w:val="%1)"/>
      <w:lvlJc w:val="left"/>
      <w:pPr>
        <w:ind w:left="2073"/>
      </w:pPr>
      <w:rPr>
        <w:rFonts w:ascii="宋体" w:hAnsi="宋体"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2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97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41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13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8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57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2">
    <w:nsid w:val="2CFA3756"/>
    <w:multiLevelType w:val="multilevel"/>
    <w:tmpl w:val="2CFA3756"/>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3">
    <w:nsid w:val="2FD52B87"/>
    <w:multiLevelType w:val="multilevel"/>
    <w:tmpl w:val="2FD52B87"/>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4">
    <w:nsid w:val="30FA2DB1"/>
    <w:multiLevelType w:val="multilevel"/>
    <w:tmpl w:val="30FA2DB1"/>
    <w:lvl w:ilvl="0" w:tentative="0">
      <w:start w:val="1"/>
      <w:numFmt w:val="decimal"/>
      <w:lvlText w:val="%1)"/>
      <w:lvlJc w:val="left"/>
      <w:pPr>
        <w:ind w:left="205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5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7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59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1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3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5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7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19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5">
    <w:nsid w:val="330339EA"/>
    <w:multiLevelType w:val="multilevel"/>
    <w:tmpl w:val="330339EA"/>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6">
    <w:nsid w:val="348A414E"/>
    <w:multiLevelType w:val="multilevel"/>
    <w:tmpl w:val="348A414E"/>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7">
    <w:nsid w:val="36E368ED"/>
    <w:multiLevelType w:val="multilevel"/>
    <w:tmpl w:val="36E368ED"/>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0"/>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8">
    <w:nsid w:val="378E731F"/>
    <w:multiLevelType w:val="multilevel"/>
    <w:tmpl w:val="378E731F"/>
    <w:lvl w:ilvl="0" w:tentative="0">
      <w:start w:val="17"/>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6"/>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9">
    <w:nsid w:val="37F90F47"/>
    <w:multiLevelType w:val="multilevel"/>
    <w:tmpl w:val="37F90F47"/>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0">
    <w:nsid w:val="3A58020E"/>
    <w:multiLevelType w:val="multilevel"/>
    <w:tmpl w:val="3A58020E"/>
    <w:lvl w:ilvl="0" w:tentative="0">
      <w:start w:val="1"/>
      <w:numFmt w:val="decimal"/>
      <w:lvlText w:val="%1)"/>
      <w:lvlJc w:val="left"/>
      <w:pPr>
        <w:ind w:left="2073"/>
      </w:pPr>
      <w:rPr>
        <w:rFonts w:ascii="宋体" w:hAnsi="宋体" w:eastAsia="宋体"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2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97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41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13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8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57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9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1">
    <w:nsid w:val="3BCD6FBB"/>
    <w:multiLevelType w:val="multilevel"/>
    <w:tmpl w:val="3BCD6FBB"/>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2">
    <w:nsid w:val="3DB91EA1"/>
    <w:multiLevelType w:val="multilevel"/>
    <w:tmpl w:val="3DB91EA1"/>
    <w:lvl w:ilvl="0" w:tentative="0">
      <w:start w:val="9"/>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25"/>
      <w:numFmt w:val="decimal"/>
      <w:lvlRestart w:val="0"/>
      <w:lvlText w:val="%1.%2"/>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4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3">
    <w:nsid w:val="3EC956D3"/>
    <w:multiLevelType w:val="multilevel"/>
    <w:tmpl w:val="3EC956D3"/>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89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43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lowerLetter"/>
      <w:lvlRestart w:val="0"/>
      <w:lvlText w:val="%4)"/>
      <w:lvlJc w:val="left"/>
      <w:pPr>
        <w:ind w:left="242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69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41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13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85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577"/>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4">
    <w:nsid w:val="3FDF0737"/>
    <w:multiLevelType w:val="multilevel"/>
    <w:tmpl w:val="3FDF0737"/>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5">
    <w:nsid w:val="440C33E7"/>
    <w:multiLevelType w:val="multilevel"/>
    <w:tmpl w:val="440C33E7"/>
    <w:lvl w:ilvl="0" w:tentative="0">
      <w:start w:val="1"/>
      <w:numFmt w:val="decimal"/>
      <w:lvlText w:val="%1)"/>
      <w:lvlJc w:val="left"/>
      <w:pPr>
        <w:ind w:left="187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6">
    <w:nsid w:val="4560341B"/>
    <w:multiLevelType w:val="multilevel"/>
    <w:tmpl w:val="4560341B"/>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7">
    <w:nsid w:val="49743877"/>
    <w:multiLevelType w:val="multilevel"/>
    <w:tmpl w:val="49743877"/>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2"/>
      <w:numFmt w:val="decimal"/>
      <w:lvlRestart w:val="0"/>
      <w:lvlText w:val="%1.%2"/>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4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8">
    <w:nsid w:val="49AC0A79"/>
    <w:multiLevelType w:val="multilevel"/>
    <w:tmpl w:val="49AC0A79"/>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39">
    <w:nsid w:val="4CD84649"/>
    <w:multiLevelType w:val="multilevel"/>
    <w:tmpl w:val="4CD84649"/>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4"/>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0">
    <w:nsid w:val="4CF04928"/>
    <w:multiLevelType w:val="multilevel"/>
    <w:tmpl w:val="4CF04928"/>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9"/>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1">
    <w:nsid w:val="543A69EF"/>
    <w:multiLevelType w:val="multilevel"/>
    <w:tmpl w:val="543A69EF"/>
    <w:lvl w:ilvl="0" w:tentative="0">
      <w:start w:val="13"/>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3"/>
      <w:numFmt w:val="decimal"/>
      <w:lvlRestart w:val="0"/>
      <w:lvlText w:val="%1.%2"/>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4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2">
    <w:nsid w:val="57D4242F"/>
    <w:multiLevelType w:val="multilevel"/>
    <w:tmpl w:val="57D4242F"/>
    <w:lvl w:ilvl="0" w:tentative="0">
      <w:start w:val="1"/>
      <w:numFmt w:val="decimal"/>
      <w:lvlText w:val="%1)"/>
      <w:lvlJc w:val="left"/>
      <w:pPr>
        <w:ind w:left="169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3">
    <w:nsid w:val="585B765C"/>
    <w:multiLevelType w:val="multilevel"/>
    <w:tmpl w:val="585B765C"/>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684"/>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00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33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656"/>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Letter"/>
      <w:lvlRestart w:val="0"/>
      <w:lvlText w:val="%6)"/>
      <w:lvlJc w:val="left"/>
      <w:pPr>
        <w:ind w:left="231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27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4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1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4">
    <w:nsid w:val="5AB0666E"/>
    <w:multiLevelType w:val="multilevel"/>
    <w:tmpl w:val="5AB0666E"/>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5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7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lowerLetter"/>
      <w:lvlRestart w:val="0"/>
      <w:lvlText w:val="%4)"/>
      <w:lvlJc w:val="left"/>
      <w:pPr>
        <w:ind w:left="2313"/>
      </w:pPr>
      <w:rPr>
        <w:rFonts w:hint="default" w:ascii="Times New Roman" w:hAnsi="Times New Roman" w:eastAsia="宋体"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6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3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0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7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5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5">
    <w:nsid w:val="5CAD11D5"/>
    <w:multiLevelType w:val="multilevel"/>
    <w:tmpl w:val="5CAD11D5"/>
    <w:lvl w:ilvl="0" w:tentative="0">
      <w:start w:val="17"/>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2"/>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6">
    <w:nsid w:val="5CC83A3D"/>
    <w:multiLevelType w:val="multilevel"/>
    <w:tmpl w:val="5CC83A3D"/>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7">
    <w:nsid w:val="5CDE76B4"/>
    <w:multiLevelType w:val="multilevel"/>
    <w:tmpl w:val="5CDE76B4"/>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42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5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2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9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1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8">
    <w:nsid w:val="5FBD31F8"/>
    <w:multiLevelType w:val="multilevel"/>
    <w:tmpl w:val="5FBD31F8"/>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43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78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50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22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94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66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38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10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49">
    <w:nsid w:val="61553FB0"/>
    <w:multiLevelType w:val="multilevel"/>
    <w:tmpl w:val="61553FB0"/>
    <w:lvl w:ilvl="0" w:tentative="0">
      <w:start w:val="13"/>
      <w:numFmt w:val="lowerLetter"/>
      <w:lvlText w:val="%1)"/>
      <w:lvlJc w:val="left"/>
      <w:pPr>
        <w:ind w:left="237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7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4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1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9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6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3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0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7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0">
    <w:nsid w:val="635A3825"/>
    <w:multiLevelType w:val="multilevel"/>
    <w:tmpl w:val="635A3825"/>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1">
    <w:nsid w:val="63A342CF"/>
    <w:multiLevelType w:val="multilevel"/>
    <w:tmpl w:val="63A342CF"/>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2">
    <w:nsid w:val="672117DD"/>
    <w:multiLevelType w:val="multilevel"/>
    <w:tmpl w:val="672117DD"/>
    <w:lvl w:ilvl="0" w:tentative="0">
      <w:start w:val="10"/>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3"/>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3">
    <w:nsid w:val="67DE0F10"/>
    <w:multiLevelType w:val="multilevel"/>
    <w:tmpl w:val="67DE0F10"/>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4">
    <w:nsid w:val="68610F93"/>
    <w:multiLevelType w:val="multilevel"/>
    <w:tmpl w:val="68610F93"/>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5">
    <w:nsid w:val="6FAC5930"/>
    <w:multiLevelType w:val="multilevel"/>
    <w:tmpl w:val="6FAC5930"/>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5"/>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6">
    <w:nsid w:val="6FE43BB5"/>
    <w:multiLevelType w:val="multilevel"/>
    <w:tmpl w:val="6FE43BB5"/>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7">
    <w:nsid w:val="743F5345"/>
    <w:multiLevelType w:val="multilevel"/>
    <w:tmpl w:val="743F5345"/>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8">
    <w:nsid w:val="749A188C"/>
    <w:multiLevelType w:val="multilevel"/>
    <w:tmpl w:val="749A188C"/>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8"/>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9">
    <w:nsid w:val="755E5DA9"/>
    <w:multiLevelType w:val="multilevel"/>
    <w:tmpl w:val="755E5DA9"/>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2"/>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0">
    <w:nsid w:val="76B12363"/>
    <w:multiLevelType w:val="multilevel"/>
    <w:tmpl w:val="76B12363"/>
    <w:lvl w:ilvl="0" w:tentative="0">
      <w:start w:val="1"/>
      <w:numFmt w:val="decimal"/>
      <w:lvlText w:val="%1)"/>
      <w:lvlJc w:val="left"/>
      <w:pPr>
        <w:ind w:left="205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1">
    <w:nsid w:val="7A1F4604"/>
    <w:multiLevelType w:val="multilevel"/>
    <w:tmpl w:val="7A1F4604"/>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9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3)"/>
      <w:lvlJc w:val="left"/>
      <w:pPr>
        <w:ind w:left="2238"/>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2">
    <w:nsid w:val="7ADA48AB"/>
    <w:multiLevelType w:val="multilevel"/>
    <w:tmpl w:val="7ADA48AB"/>
    <w:lvl w:ilvl="0" w:tentative="0">
      <w:start w:val="3"/>
      <w:numFmt w:val="decimal"/>
      <w:lvlText w:val="%1"/>
      <w:lvlJc w:val="left"/>
      <w:pPr>
        <w:ind w:left="36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1" w:tentative="0">
      <w:start w:val="1"/>
      <w:numFmt w:val="decimal"/>
      <w:lvlRestart w:val="0"/>
      <w:lvlText w:val="%1.%2"/>
      <w:lvlJc w:val="left"/>
      <w:pPr>
        <w:ind w:left="135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08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80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52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24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96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68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400" w:firstLine="0"/>
      </w:pPr>
      <w:rPr>
        <w:rFonts w:hint="eastAsia" w:ascii="Times New Roman" w:hAnsi="Times New Roman" w:eastAsia="宋体" w:cs="Times New Roman"/>
        <w:b w:val="0"/>
        <w:i w:val="0"/>
        <w:strike w:val="0"/>
        <w:dstrike w:val="0"/>
        <w:color w:val="000000"/>
        <w:sz w:val="24"/>
        <w:szCs w:val="24"/>
        <w:u w:val="none" w:color="000000"/>
        <w:shd w:val="clear" w:color="auto" w:fill="auto"/>
        <w:vertAlign w:val="baseline"/>
      </w:rPr>
    </w:lvl>
  </w:abstractNum>
  <w:abstractNum w:abstractNumId="63">
    <w:nsid w:val="7B90088C"/>
    <w:multiLevelType w:val="multilevel"/>
    <w:tmpl w:val="7B90088C"/>
    <w:lvl w:ilvl="0" w:tentative="0">
      <w:start w:val="16"/>
      <w:numFmt w:val="lowerLetter"/>
      <w:lvlText w:val="%1)"/>
      <w:lvlJc w:val="left"/>
      <w:pPr>
        <w:ind w:left="237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7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4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1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9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6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3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0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7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4">
    <w:nsid w:val="7CC2700B"/>
    <w:multiLevelType w:val="multilevel"/>
    <w:tmpl w:val="7CC2700B"/>
    <w:lvl w:ilvl="0" w:tentative="0">
      <w:start w:val="1"/>
      <w:numFmt w:val="decimal"/>
      <w:pStyle w:val="2"/>
      <w:lvlText w:val="%1."/>
      <w:lvlJc w:val="left"/>
      <w:pPr>
        <w:ind w:left="0"/>
      </w:pPr>
      <w:rPr>
        <w:rFonts w:hint="default" w:ascii="宋体" w:hAnsi="宋体" w:eastAsia="宋体" w:cs="宋体"/>
        <w:b/>
        <w:bCs/>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bCs/>
        <w:i w:val="0"/>
        <w:strike w:val="0"/>
        <w:dstrike w:val="0"/>
        <w:color w:val="000000"/>
        <w:sz w:val="24"/>
        <w:szCs w:val="24"/>
        <w:u w:val="none" w:color="000000"/>
        <w:shd w:val="clear" w:color="auto" w:fill="auto"/>
        <w:vertAlign w:val="baseline"/>
      </w:rPr>
    </w:lvl>
  </w:abstractNum>
  <w:abstractNum w:abstractNumId="65">
    <w:nsid w:val="7DBC75F0"/>
    <w:multiLevelType w:val="multilevel"/>
    <w:tmpl w:val="7DBC75F0"/>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4"/>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6">
    <w:nsid w:val="7EEE4DB1"/>
    <w:multiLevelType w:val="multilevel"/>
    <w:tmpl w:val="7EEE4DB1"/>
    <w:lvl w:ilvl="0" w:tentative="0">
      <w:start w:val="1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6"/>
      <w:numFmt w:val="decimal"/>
      <w:lvlText w:val="%1.%2"/>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Restart w:val="0"/>
      <w:lvlText w:val="%1.%2.%3"/>
      <w:lvlJc w:val="left"/>
      <w:pPr>
        <w:ind w:left="135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67">
    <w:nsid w:val="7FBA52C5"/>
    <w:multiLevelType w:val="multilevel"/>
    <w:tmpl w:val="7FBA52C5"/>
    <w:lvl w:ilvl="0" w:tentative="0">
      <w:start w:val="1"/>
      <w:numFmt w:val="decimal"/>
      <w:lvlText w:val="%1)"/>
      <w:lvlJc w:val="left"/>
      <w:pPr>
        <w:ind w:left="1959"/>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1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8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6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3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0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7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4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2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num w:numId="1">
    <w:abstractNumId w:val="64"/>
  </w:num>
  <w:num w:numId="2">
    <w:abstractNumId w:val="1"/>
  </w:num>
  <w:num w:numId="3">
    <w:abstractNumId w:val="62"/>
  </w:num>
  <w:num w:numId="4">
    <w:abstractNumId w:val="0"/>
  </w:num>
  <w:num w:numId="5">
    <w:abstractNumId w:val="12"/>
  </w:num>
  <w:num w:numId="6">
    <w:abstractNumId w:val="61"/>
  </w:num>
  <w:num w:numId="7">
    <w:abstractNumId w:val="21"/>
  </w:num>
  <w:num w:numId="8">
    <w:abstractNumId w:val="30"/>
  </w:num>
  <w:num w:numId="9">
    <w:abstractNumId w:val="32"/>
  </w:num>
  <w:num w:numId="10">
    <w:abstractNumId w:val="19"/>
  </w:num>
  <w:num w:numId="11">
    <w:abstractNumId w:val="18"/>
  </w:num>
  <w:num w:numId="12">
    <w:abstractNumId w:val="3"/>
  </w:num>
  <w:num w:numId="13">
    <w:abstractNumId w:val="44"/>
  </w:num>
  <w:num w:numId="14">
    <w:abstractNumId w:val="9"/>
  </w:num>
  <w:num w:numId="15">
    <w:abstractNumId w:val="43"/>
  </w:num>
  <w:num w:numId="16">
    <w:abstractNumId w:val="52"/>
  </w:num>
  <w:num w:numId="17">
    <w:abstractNumId w:val="10"/>
  </w:num>
  <w:num w:numId="18">
    <w:abstractNumId w:val="33"/>
  </w:num>
  <w:num w:numId="19">
    <w:abstractNumId w:val="37"/>
  </w:num>
  <w:num w:numId="20">
    <w:abstractNumId w:val="7"/>
  </w:num>
  <w:num w:numId="21">
    <w:abstractNumId w:val="39"/>
  </w:num>
  <w:num w:numId="22">
    <w:abstractNumId w:val="55"/>
  </w:num>
  <w:num w:numId="23">
    <w:abstractNumId w:val="66"/>
  </w:num>
  <w:num w:numId="24">
    <w:abstractNumId w:val="6"/>
  </w:num>
  <w:num w:numId="25">
    <w:abstractNumId w:val="58"/>
  </w:num>
  <w:num w:numId="26">
    <w:abstractNumId w:val="40"/>
  </w:num>
  <w:num w:numId="27">
    <w:abstractNumId w:val="27"/>
  </w:num>
  <w:num w:numId="28">
    <w:abstractNumId w:val="42"/>
  </w:num>
  <w:num w:numId="29">
    <w:abstractNumId w:val="15"/>
  </w:num>
  <w:num w:numId="30">
    <w:abstractNumId w:val="2"/>
  </w:num>
  <w:num w:numId="31">
    <w:abstractNumId w:val="59"/>
  </w:num>
  <w:num w:numId="32">
    <w:abstractNumId w:val="60"/>
  </w:num>
  <w:num w:numId="33">
    <w:abstractNumId w:val="65"/>
  </w:num>
  <w:num w:numId="34">
    <w:abstractNumId w:val="35"/>
  </w:num>
  <w:num w:numId="35">
    <w:abstractNumId w:val="41"/>
  </w:num>
  <w:num w:numId="36">
    <w:abstractNumId w:val="56"/>
  </w:num>
  <w:num w:numId="37">
    <w:abstractNumId w:val="4"/>
  </w:num>
  <w:num w:numId="38">
    <w:abstractNumId w:val="57"/>
  </w:num>
  <w:num w:numId="39">
    <w:abstractNumId w:val="51"/>
  </w:num>
  <w:num w:numId="40">
    <w:abstractNumId w:val="50"/>
  </w:num>
  <w:num w:numId="41">
    <w:abstractNumId w:val="34"/>
  </w:num>
  <w:num w:numId="42">
    <w:abstractNumId w:val="24"/>
  </w:num>
  <w:num w:numId="43">
    <w:abstractNumId w:val="45"/>
  </w:num>
  <w:num w:numId="44">
    <w:abstractNumId w:val="17"/>
  </w:num>
  <w:num w:numId="45">
    <w:abstractNumId w:val="22"/>
  </w:num>
  <w:num w:numId="46">
    <w:abstractNumId w:val="29"/>
  </w:num>
  <w:num w:numId="47">
    <w:abstractNumId w:val="25"/>
  </w:num>
  <w:num w:numId="48">
    <w:abstractNumId w:val="5"/>
  </w:num>
  <w:num w:numId="49">
    <w:abstractNumId w:val="28"/>
  </w:num>
  <w:num w:numId="50">
    <w:abstractNumId w:val="31"/>
  </w:num>
  <w:num w:numId="51">
    <w:abstractNumId w:val="16"/>
  </w:num>
  <w:num w:numId="52">
    <w:abstractNumId w:val="26"/>
  </w:num>
  <w:num w:numId="53">
    <w:abstractNumId w:val="38"/>
  </w:num>
  <w:num w:numId="54">
    <w:abstractNumId w:val="48"/>
  </w:num>
  <w:num w:numId="55">
    <w:abstractNumId w:val="14"/>
  </w:num>
  <w:num w:numId="56">
    <w:abstractNumId w:val="46"/>
  </w:num>
  <w:num w:numId="57">
    <w:abstractNumId w:val="8"/>
  </w:num>
  <w:num w:numId="58">
    <w:abstractNumId w:val="53"/>
  </w:num>
  <w:num w:numId="59">
    <w:abstractNumId w:val="54"/>
  </w:num>
  <w:num w:numId="60">
    <w:abstractNumId w:val="67"/>
  </w:num>
  <w:num w:numId="61">
    <w:abstractNumId w:val="36"/>
  </w:num>
  <w:num w:numId="62">
    <w:abstractNumId w:val="13"/>
  </w:num>
  <w:num w:numId="63">
    <w:abstractNumId w:val="47"/>
  </w:num>
  <w:num w:numId="64">
    <w:abstractNumId w:val="11"/>
  </w:num>
  <w:num w:numId="65">
    <w:abstractNumId w:val="49"/>
  </w:num>
  <w:num w:numId="66">
    <w:abstractNumId w:val="63"/>
  </w:num>
  <w:num w:numId="67">
    <w:abstractNumId w:val="20"/>
  </w:num>
  <w:num w:numId="6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WE4NTgzNjE1ZjEwZTA3NzY5NTljMmUxMmM3OGEifQ=="/>
  </w:docVars>
  <w:rsids>
    <w:rsidRoot w:val="00033314"/>
    <w:rsid w:val="00033314"/>
    <w:rsid w:val="00091FCA"/>
    <w:rsid w:val="00244460"/>
    <w:rsid w:val="002D6FD3"/>
    <w:rsid w:val="003651F2"/>
    <w:rsid w:val="003E75DB"/>
    <w:rsid w:val="00514DD2"/>
    <w:rsid w:val="00552CBF"/>
    <w:rsid w:val="006F2243"/>
    <w:rsid w:val="00A27C68"/>
    <w:rsid w:val="00B252DC"/>
    <w:rsid w:val="00C81E2D"/>
    <w:rsid w:val="00D031E5"/>
    <w:rsid w:val="00E9682C"/>
    <w:rsid w:val="00EA032F"/>
    <w:rsid w:val="00ED0A57"/>
    <w:rsid w:val="00F3000E"/>
    <w:rsid w:val="00FB0D2D"/>
    <w:rsid w:val="00FB43AC"/>
    <w:rsid w:val="054B723D"/>
    <w:rsid w:val="0904577C"/>
    <w:rsid w:val="09D43B7A"/>
    <w:rsid w:val="09D60935"/>
    <w:rsid w:val="0B396AFA"/>
    <w:rsid w:val="0BB71586"/>
    <w:rsid w:val="0CB66909"/>
    <w:rsid w:val="0E414ACE"/>
    <w:rsid w:val="15087FFF"/>
    <w:rsid w:val="22D73AFE"/>
    <w:rsid w:val="27146708"/>
    <w:rsid w:val="2F1E09CA"/>
    <w:rsid w:val="2F7B152E"/>
    <w:rsid w:val="32C36DBA"/>
    <w:rsid w:val="3D8A7513"/>
    <w:rsid w:val="43C84744"/>
    <w:rsid w:val="441D7C50"/>
    <w:rsid w:val="44965E6B"/>
    <w:rsid w:val="4683263D"/>
    <w:rsid w:val="4DAC3EDB"/>
    <w:rsid w:val="4EF56F9A"/>
    <w:rsid w:val="56FD7708"/>
    <w:rsid w:val="57D45F5F"/>
    <w:rsid w:val="59255714"/>
    <w:rsid w:val="59ED0B5F"/>
    <w:rsid w:val="60C33D71"/>
    <w:rsid w:val="63030411"/>
    <w:rsid w:val="67F82344"/>
    <w:rsid w:val="6AC4594F"/>
    <w:rsid w:val="755571ED"/>
    <w:rsid w:val="7BCE6783"/>
    <w:rsid w:val="7EAF55E3"/>
    <w:rsid w:val="7F3E7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9" w:line="252" w:lineRule="auto"/>
      <w:ind w:left="2750" w:right="2681" w:hanging="10"/>
    </w:pPr>
    <w:rPr>
      <w:rFonts w:ascii="宋体" w:hAnsi="宋体" w:eastAsia="宋体" w:cs="宋体"/>
      <w:color w:val="000000"/>
      <w:kern w:val="2"/>
      <w:sz w:val="24"/>
      <w:szCs w:val="22"/>
      <w:lang w:val="en-US" w:eastAsia="zh-CN" w:bidi="ar-SA"/>
    </w:rPr>
  </w:style>
  <w:style w:type="paragraph" w:styleId="2">
    <w:name w:val="heading 1"/>
    <w:next w:val="1"/>
    <w:link w:val="13"/>
    <w:qFormat/>
    <w:uiPriority w:val="9"/>
    <w:pPr>
      <w:keepNext/>
      <w:keepLines/>
      <w:numPr>
        <w:ilvl w:val="0"/>
        <w:numId w:val="1"/>
      </w:numPr>
      <w:spacing w:after="9" w:line="252" w:lineRule="auto"/>
      <w:ind w:right="2681"/>
      <w:outlineLvl w:val="0"/>
    </w:pPr>
    <w:rPr>
      <w:rFonts w:ascii="宋体" w:hAnsi="宋体" w:eastAsia="宋体" w:cs="宋体"/>
      <w:color w:val="000000"/>
      <w:kern w:val="2"/>
      <w:sz w:val="24"/>
      <w:szCs w:val="22"/>
      <w:lang w:val="en-US" w:eastAsia="zh-CN" w:bidi="ar-SA"/>
    </w:rPr>
  </w:style>
  <w:style w:type="paragraph" w:styleId="3">
    <w:name w:val="heading 2"/>
    <w:next w:val="1"/>
    <w:link w:val="12"/>
    <w:semiHidden/>
    <w:unhideWhenUsed/>
    <w:qFormat/>
    <w:uiPriority w:val="9"/>
    <w:pPr>
      <w:keepNext/>
      <w:keepLines/>
      <w:spacing w:line="259" w:lineRule="auto"/>
      <w:ind w:left="272"/>
      <w:outlineLvl w:val="1"/>
    </w:pPr>
    <w:rPr>
      <w:rFonts w:ascii="Times New Roman" w:hAnsi="Times New Roman" w:eastAsia="Times New Roman" w:cs="Times New Roman"/>
      <w:b/>
      <w:color w:val="000000"/>
      <w:kern w:val="2"/>
      <w:sz w:val="24"/>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style>
  <w:style w:type="paragraph" w:styleId="5">
    <w:name w:val="footer"/>
    <w:basedOn w:val="1"/>
    <w:link w:val="15"/>
    <w:semiHidden/>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7"/>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toc 1"/>
    <w:next w:val="1"/>
    <w:hidden/>
    <w:qFormat/>
    <w:uiPriority w:val="0"/>
    <w:pPr>
      <w:spacing w:after="115" w:line="259" w:lineRule="auto"/>
      <w:ind w:left="25" w:right="19" w:hanging="10"/>
    </w:pPr>
    <w:rPr>
      <w:rFonts w:ascii="Times New Roman" w:hAnsi="Times New Roman" w:eastAsia="Times New Roman" w:cs="Times New Roman"/>
      <w:b/>
      <w:color w:val="000000"/>
      <w:kern w:val="2"/>
      <w:szCs w:val="22"/>
      <w:lang w:val="en-US" w:eastAsia="zh-CN" w:bidi="ar-SA"/>
    </w:rPr>
  </w:style>
  <w:style w:type="character" w:styleId="10">
    <w:name w:val="Emphasis"/>
    <w:basedOn w:val="9"/>
    <w:qFormat/>
    <w:uiPriority w:val="20"/>
    <w:rPr>
      <w:i/>
      <w:iCs/>
    </w:rPr>
  </w:style>
  <w:style w:type="character" w:styleId="11">
    <w:name w:val="annotation reference"/>
    <w:basedOn w:val="9"/>
    <w:semiHidden/>
    <w:unhideWhenUsed/>
    <w:qFormat/>
    <w:uiPriority w:val="99"/>
    <w:rPr>
      <w:sz w:val="21"/>
      <w:szCs w:val="21"/>
    </w:rPr>
  </w:style>
  <w:style w:type="character" w:customStyle="1" w:styleId="12">
    <w:name w:val="标题 2 字符"/>
    <w:link w:val="3"/>
    <w:qFormat/>
    <w:uiPriority w:val="0"/>
    <w:rPr>
      <w:rFonts w:ascii="Times New Roman" w:hAnsi="Times New Roman" w:eastAsia="Times New Roman" w:cs="Times New Roman"/>
      <w:b/>
      <w:color w:val="000000"/>
      <w:sz w:val="24"/>
    </w:rPr>
  </w:style>
  <w:style w:type="character" w:customStyle="1" w:styleId="13">
    <w:name w:val="标题 1 字符"/>
    <w:link w:val="2"/>
    <w:qFormat/>
    <w:uiPriority w:val="9"/>
    <w:rPr>
      <w:rFonts w:ascii="宋体" w:hAnsi="宋体" w:eastAsia="宋体" w:cs="宋体"/>
      <w:color w:val="000000"/>
      <w:sz w:val="24"/>
    </w:rPr>
  </w:style>
  <w:style w:type="table" w:customStyle="1" w:styleId="14">
    <w:name w:val="TableGrid"/>
    <w:qFormat/>
    <w:uiPriority w:val="0"/>
    <w:tblPr>
      <w:tblCellMar>
        <w:top w:w="0" w:type="dxa"/>
        <w:left w:w="0" w:type="dxa"/>
        <w:bottom w:w="0" w:type="dxa"/>
        <w:right w:w="0" w:type="dxa"/>
      </w:tblCellMar>
    </w:tblPr>
  </w:style>
  <w:style w:type="character" w:customStyle="1" w:styleId="15">
    <w:name w:val="页脚 字符"/>
    <w:basedOn w:val="9"/>
    <w:link w:val="5"/>
    <w:semiHidden/>
    <w:qFormat/>
    <w:uiPriority w:val="99"/>
    <w:rPr>
      <w:rFonts w:ascii="宋体" w:hAnsi="宋体" w:eastAsia="宋体" w:cs="宋体"/>
      <w:color w:val="000000"/>
      <w:sz w:val="18"/>
      <w:szCs w:val="18"/>
    </w:rPr>
  </w:style>
  <w:style w:type="paragraph" w:styleId="16">
    <w:name w:val="List Paragraph"/>
    <w:basedOn w:val="1"/>
    <w:qFormat/>
    <w:uiPriority w:val="34"/>
    <w:pPr>
      <w:ind w:firstLine="420" w:firstLineChars="200"/>
    </w:pPr>
  </w:style>
  <w:style w:type="character" w:customStyle="1" w:styleId="17">
    <w:name w:val="页眉 字符"/>
    <w:basedOn w:val="9"/>
    <w:link w:val="6"/>
    <w:semiHidden/>
    <w:qFormat/>
    <w:uiPriority w:val="99"/>
    <w:rPr>
      <w:rFonts w:ascii="宋体" w:hAnsi="宋体" w:eastAsia="宋体" w:cs="宋体"/>
      <w:color w:val="000000"/>
      <w:sz w:val="18"/>
      <w:szCs w:val="18"/>
    </w:rPr>
  </w:style>
  <w:style w:type="paragraph" w:customStyle="1" w:styleId="18">
    <w:name w:val="列出段落2"/>
    <w:basedOn w:val="1"/>
    <w:qFormat/>
    <w:uiPriority w:val="34"/>
    <w:pPr>
      <w:widowControl w:val="0"/>
      <w:spacing w:after="0" w:line="240" w:lineRule="auto"/>
      <w:ind w:left="0" w:right="0" w:firstLine="420" w:firstLineChars="200"/>
      <w:jc w:val="both"/>
    </w:pPr>
    <w:rPr>
      <w:rFonts w:ascii="Times New Roman" w:hAnsi="Times New Roman" w:cs="Times New Roman"/>
      <w:color w:val="auto"/>
      <w:sz w:val="21"/>
      <w:szCs w:val="24"/>
    </w:rPr>
  </w:style>
  <w:style w:type="character" w:customStyle="1" w:styleId="19">
    <w:name w:val="font21"/>
    <w:basedOn w:val="9"/>
    <w:qFormat/>
    <w:uiPriority w:val="0"/>
    <w:rPr>
      <w:rFonts w:hint="eastAsia" w:ascii="宋体" w:hAnsi="宋体" w:eastAsia="宋体" w:cs="宋体"/>
      <w:color w:val="000000"/>
      <w:sz w:val="22"/>
      <w:szCs w:val="22"/>
      <w:u w:val="none"/>
    </w:rPr>
  </w:style>
  <w:style w:type="character" w:customStyle="1" w:styleId="20">
    <w:name w:val="font01"/>
    <w:basedOn w:val="9"/>
    <w:qFormat/>
    <w:uiPriority w:val="0"/>
    <w:rPr>
      <w:rFonts w:hint="eastAsia" w:ascii="宋体" w:hAnsi="宋体" w:eastAsia="宋体" w:cs="宋体"/>
      <w:color w:val="0070C0"/>
      <w:sz w:val="22"/>
      <w:szCs w:val="22"/>
      <w:u w:val="none"/>
    </w:rPr>
  </w:style>
  <w:style w:type="character" w:customStyle="1" w:styleId="21">
    <w:name w:val="font31"/>
    <w:basedOn w:val="9"/>
    <w:qFormat/>
    <w:uiPriority w:val="0"/>
    <w:rPr>
      <w:rFonts w:hint="eastAsia" w:ascii="宋体" w:hAnsi="宋体" w:eastAsia="宋体" w:cs="宋体"/>
      <w:color w:val="000000"/>
      <w:sz w:val="22"/>
      <w:szCs w:val="22"/>
      <w:u w:val="none"/>
    </w:rPr>
  </w:style>
  <w:style w:type="character" w:customStyle="1" w:styleId="22">
    <w:name w:val="font51"/>
    <w:basedOn w:val="9"/>
    <w:qFormat/>
    <w:uiPriority w:val="0"/>
    <w:rPr>
      <w:rFonts w:hint="eastAsia" w:ascii="宋体" w:hAnsi="宋体" w:eastAsia="宋体" w:cs="宋体"/>
      <w:color w:val="FF0000"/>
      <w:sz w:val="22"/>
      <w:szCs w:val="22"/>
      <w:u w:val="none"/>
    </w:rPr>
  </w:style>
  <w:style w:type="character" w:customStyle="1" w:styleId="23">
    <w:name w:val="font61"/>
    <w:basedOn w:val="9"/>
    <w:qFormat/>
    <w:uiPriority w:val="0"/>
    <w:rPr>
      <w:rFonts w:hint="eastAsia" w:ascii="宋体" w:hAnsi="宋体" w:eastAsia="宋体" w:cs="宋体"/>
      <w:color w:val="FF0000"/>
      <w:sz w:val="22"/>
      <w:szCs w:val="22"/>
      <w:u w:val="none"/>
    </w:rPr>
  </w:style>
  <w:style w:type="character" w:customStyle="1" w:styleId="24">
    <w:name w:val="font41"/>
    <w:basedOn w:val="9"/>
    <w:qFormat/>
    <w:uiPriority w:val="0"/>
    <w:rPr>
      <w:rFonts w:hint="eastAsia" w:ascii="宋体" w:hAnsi="宋体" w:eastAsia="宋体" w:cs="宋体"/>
      <w:color w:val="000000"/>
      <w:sz w:val="22"/>
      <w:szCs w:val="22"/>
      <w:u w:val="none"/>
    </w:rPr>
  </w:style>
  <w:style w:type="character" w:customStyle="1" w:styleId="25">
    <w:name w:val="font1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D5C00-03D7-46AA-96A5-6E75A09BA2DC}">
  <ds:schemaRefs/>
</ds:datastoreItem>
</file>

<file path=docProps/app.xml><?xml version="1.0" encoding="utf-8"?>
<Properties xmlns="http://schemas.openxmlformats.org/officeDocument/2006/extended-properties" xmlns:vt="http://schemas.openxmlformats.org/officeDocument/2006/docPropsVTypes">
  <Template>Normal</Template>
  <Pages>36</Pages>
  <Words>24143</Words>
  <Characters>25529</Characters>
  <Lines>211</Lines>
  <Paragraphs>59</Paragraphs>
  <TotalTime>0</TotalTime>
  <ScaleCrop>false</ScaleCrop>
  <LinksUpToDate>false</LinksUpToDate>
  <CharactersWithSpaces>27932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2021-03-31T08:06:00Z</dcterms:created>
  <dc:creator>structure chinese</dc:creator>
  <cp:lastModifiedBy>陈智宏</cp:lastModifiedBy>
  <cp:lastPrinted>2021-04-20T09:33:00Z</cp:lastPrinted>
  <dcterms:modified xsi:type="dcterms:W3CDTF">2022-12-11T15:13:44Z</dcterms:modified>
  <dc:title>Report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2B82462582F849BBBEC89C2CA36FED01</vt:lpwstr>
  </property>
</Properties>
</file>